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A0D76" w:rsidRDefault="00CA0D76">
      <w:bookmarkStart w:id="0" w:name="_GoBack"/>
      <w:bookmarkEnd w:id="0"/>
    </w:p>
    <w:p w:rsidR="00CA0D76" w:rsidRDefault="00CA0D76">
      <w:pPr>
        <w:spacing w:before="400" w:after="100"/>
      </w:pPr>
    </w:p>
    <w:p w:rsidR="00CA0D76" w:rsidRDefault="00C031CC">
      <w:pPr>
        <w:jc w:val="center"/>
      </w:pPr>
      <w:r>
        <w:rPr>
          <w:b/>
          <w:bCs/>
          <w:color w:val="1B4F72"/>
          <w:sz w:val="32"/>
          <w:szCs w:val="32"/>
        </w:rPr>
        <w:t>BURSA ULUDAĞ ÜNİVERSİTESİ</w:t>
      </w:r>
    </w:p>
    <w:p w:rsidR="00CA0D76" w:rsidRDefault="00C031CC">
      <w:pPr>
        <w:spacing w:after="60"/>
        <w:jc w:val="center"/>
      </w:pPr>
      <w:r>
        <w:rPr>
          <w:color w:val="1B4F72"/>
          <w:sz w:val="28"/>
          <w:szCs w:val="28"/>
        </w:rPr>
        <w:t>EĞİTİM FAKÜLTESİ</w:t>
      </w:r>
    </w:p>
    <w:p w:rsidR="00CA0D76" w:rsidRDefault="00C031CC">
      <w:pPr>
        <w:spacing w:after="60"/>
        <w:jc w:val="center"/>
      </w:pPr>
      <w:r>
        <w:rPr>
          <w:color w:val="2980B9"/>
          <w:sz w:val="24"/>
          <w:szCs w:val="24"/>
        </w:rPr>
        <w:t>Eğitim Bilimleri Bölümü</w:t>
      </w:r>
    </w:p>
    <w:p w:rsidR="00CA0D76" w:rsidRDefault="00C031CC">
      <w:pPr>
        <w:spacing w:after="500"/>
        <w:jc w:val="center"/>
      </w:pPr>
      <w:r>
        <w:rPr>
          <w:color w:val="2980B9"/>
          <w:sz w:val="24"/>
          <w:szCs w:val="24"/>
        </w:rPr>
        <w:t>Rehberlik ve Psikolojik Danışmanlık Anabilim Dalı</w:t>
      </w:r>
    </w:p>
    <w:p w:rsidR="00CA0D76" w:rsidRDefault="00C031CC">
      <w:pPr>
        <w:pBdr>
          <w:top w:val="single" w:sz="6" w:space="0" w:color="1B4F72"/>
          <w:bottom w:val="single" w:sz="6" w:space="0" w:color="1B4F72"/>
        </w:pBdr>
        <w:shd w:val="clear" w:color="auto" w:fill="D6EAF8"/>
        <w:spacing w:before="80" w:after="80"/>
        <w:jc w:val="center"/>
      </w:pPr>
      <w:r>
        <w:rPr>
          <w:b/>
          <w:bCs/>
          <w:caps/>
          <w:color w:val="1B4F72"/>
          <w:sz w:val="40"/>
          <w:szCs w:val="40"/>
        </w:rPr>
        <w:t>MEZUN İZLEME ANKETİ SONUÇ RAPORU</w:t>
      </w:r>
    </w:p>
    <w:p w:rsidR="00CA0D76" w:rsidRDefault="00C031CC">
      <w:pPr>
        <w:spacing w:before="200" w:after="400"/>
        <w:jc w:val="center"/>
      </w:pPr>
      <w:r>
        <w:rPr>
          <w:b/>
          <w:bCs/>
          <w:color w:val="1B4F72"/>
          <w:sz w:val="32"/>
          <w:szCs w:val="32"/>
        </w:rPr>
        <w:t>2026</w:t>
      </w: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4513"/>
        <w:gridCol w:w="4513"/>
      </w:tblGrid>
      <w:tr w:rsidR="00CA0D76">
        <w:tblPrEx>
          <w:tblCellMar>
            <w:top w:w="0" w:type="dxa"/>
            <w:bottom w:w="0" w:type="dxa"/>
          </w:tblCellMar>
        </w:tblPrEx>
        <w:tc>
          <w:tcPr>
            <w:tcW w:w="4513" w:type="dxa"/>
            <w:tcBorders>
              <w:top w:val="single" w:sz="1" w:space="0" w:color="CCCCCC"/>
              <w:left w:val="single" w:sz="1" w:space="0" w:color="CCCCCC"/>
              <w:bottom w:val="single" w:sz="1" w:space="0" w:color="CCCCCC"/>
              <w:right w:val="single" w:sz="1" w:space="0" w:color="CCCCCC"/>
            </w:tcBorders>
            <w:shd w:val="clear" w:color="auto" w:fill="EBF5FB"/>
            <w:tcMar>
              <w:top w:w="150" w:type="dxa"/>
              <w:left w:w="200" w:type="dxa"/>
              <w:bottom w:w="150" w:type="dxa"/>
              <w:right w:w="200" w:type="dxa"/>
            </w:tcMar>
          </w:tcPr>
          <w:p w:rsidR="00CA0D76" w:rsidRDefault="00C031CC">
            <w:r>
              <w:rPr>
                <w:b/>
                <w:bCs/>
                <w:color w:val="1B4F72"/>
              </w:rPr>
              <w:t>Anket Hedef Kitlesi</w:t>
            </w:r>
          </w:p>
          <w:p w:rsidR="00CA0D76" w:rsidRDefault="00C031CC">
            <w:r>
              <w:t>Son 5 yıl mezunları (2020–2025)</w:t>
            </w:r>
          </w:p>
        </w:tc>
        <w:tc>
          <w:tcPr>
            <w:tcW w:w="4513" w:type="dxa"/>
            <w:tcBorders>
              <w:top w:val="single" w:sz="1" w:space="0" w:color="CCCCCC"/>
              <w:left w:val="single" w:sz="1" w:space="0" w:color="CCCCCC"/>
              <w:bottom w:val="single" w:sz="1" w:space="0" w:color="CCCCCC"/>
              <w:right w:val="single" w:sz="1" w:space="0" w:color="CCCCCC"/>
            </w:tcBorders>
            <w:shd w:val="clear" w:color="auto" w:fill="EBF5FB"/>
            <w:tcMar>
              <w:top w:w="150" w:type="dxa"/>
              <w:left w:w="200" w:type="dxa"/>
              <w:bottom w:w="150" w:type="dxa"/>
              <w:right w:w="200" w:type="dxa"/>
            </w:tcMar>
          </w:tcPr>
          <w:p w:rsidR="00CA0D76" w:rsidRDefault="00C031CC">
            <w:r>
              <w:rPr>
                <w:b/>
                <w:bCs/>
                <w:color w:val="1B4F72"/>
              </w:rPr>
              <w:t>Uygulama Yöntemi</w:t>
            </w:r>
          </w:p>
          <w:p w:rsidR="00CA0D76" w:rsidRDefault="00C031CC">
            <w:r>
              <w:t>SMS ile gönderilen çevrimiçi anket</w:t>
            </w:r>
          </w:p>
        </w:tc>
      </w:tr>
      <w:tr w:rsidR="00CA0D76">
        <w:tblPrEx>
          <w:tblCellMar>
            <w:top w:w="0" w:type="dxa"/>
            <w:bottom w:w="0" w:type="dxa"/>
          </w:tblCellMar>
        </w:tblPrEx>
        <w:tc>
          <w:tcPr>
            <w:tcW w:w="4513" w:type="dxa"/>
            <w:tcBorders>
              <w:top w:val="single" w:sz="1" w:space="0" w:color="CCCCCC"/>
              <w:left w:val="single" w:sz="1" w:space="0" w:color="CCCCCC"/>
              <w:bottom w:val="single" w:sz="1" w:space="0" w:color="CCCCCC"/>
              <w:right w:val="single" w:sz="1" w:space="0" w:color="CCCCCC"/>
            </w:tcBorders>
            <w:shd w:val="clear" w:color="auto" w:fill="FFFFFF"/>
            <w:tcMar>
              <w:top w:w="150" w:type="dxa"/>
              <w:left w:w="200" w:type="dxa"/>
              <w:bottom w:w="150" w:type="dxa"/>
              <w:right w:w="200" w:type="dxa"/>
            </w:tcMar>
          </w:tcPr>
          <w:p w:rsidR="00CA0D76" w:rsidRDefault="00C031CC">
            <w:r>
              <w:rPr>
                <w:b/>
                <w:bCs/>
                <w:color w:val="1B4F72"/>
              </w:rPr>
              <w:t>Ulaşılan Mezun Sayısı</w:t>
            </w:r>
          </w:p>
          <w:p w:rsidR="00CA0D76" w:rsidRDefault="00C031CC">
            <w:r>
              <w:t>748 kişi (SMS)</w:t>
            </w:r>
          </w:p>
        </w:tc>
        <w:tc>
          <w:tcPr>
            <w:tcW w:w="4513" w:type="dxa"/>
            <w:tcBorders>
              <w:top w:val="single" w:sz="1" w:space="0" w:color="CCCCCC"/>
              <w:left w:val="single" w:sz="1" w:space="0" w:color="CCCCCC"/>
              <w:bottom w:val="single" w:sz="1" w:space="0" w:color="CCCCCC"/>
              <w:right w:val="single" w:sz="1" w:space="0" w:color="CCCCCC"/>
            </w:tcBorders>
            <w:shd w:val="clear" w:color="auto" w:fill="FFFFFF"/>
            <w:tcMar>
              <w:top w:w="150" w:type="dxa"/>
              <w:left w:w="200" w:type="dxa"/>
              <w:bottom w:w="150" w:type="dxa"/>
              <w:right w:w="200" w:type="dxa"/>
            </w:tcMar>
          </w:tcPr>
          <w:p w:rsidR="00CA0D76" w:rsidRDefault="00C031CC">
            <w:r>
              <w:rPr>
                <w:b/>
                <w:bCs/>
                <w:color w:val="1B4F72"/>
              </w:rPr>
              <w:t>Katılım Oranı</w:t>
            </w:r>
          </w:p>
          <w:p w:rsidR="00CA0D76" w:rsidRDefault="00C031CC">
            <w:r>
              <w:t>91 / 748 → %12,2</w:t>
            </w:r>
          </w:p>
        </w:tc>
      </w:tr>
    </w:tbl>
    <w:p w:rsidR="00CA0D76" w:rsidRDefault="00CA0D76">
      <w:pPr>
        <w:spacing w:after="200"/>
      </w:pPr>
    </w:p>
    <w:p w:rsidR="00CA0D76" w:rsidRDefault="00C031CC">
      <w:pPr>
        <w:pStyle w:val="Balk1"/>
        <w:pBdr>
          <w:bottom w:val="single" w:sz="4" w:space="4" w:color="1B4F72"/>
        </w:pBdr>
      </w:pPr>
      <w:r>
        <w:t>1. Yönetici Özeti</w:t>
      </w:r>
    </w:p>
    <w:p w:rsidR="00CA0D76" w:rsidRDefault="00C031CC">
      <w:pPr>
        <w:spacing w:after="120"/>
        <w:jc w:val="both"/>
      </w:pPr>
      <w:r>
        <w:t>Bu rapor, Bursa Uludağ Üniversitesi Eğitim Fakültesi Eğitim Bilimleri Bölümü Rehberlik ve Psikolojik Danışmanlık (PDR) Anabilim Dalı tarafından yürütülen Mezun İzleme Anketi sonuçlarını sunmaktadır. Anket, son beş yılda (2020–2025) mezun olan 748 öğrenciye</w:t>
      </w:r>
      <w:r>
        <w:t xml:space="preserve"> SMS yoluyla iletilmiş; 91 mezun anketi tamamlayarak %12,2 katılım oranına ulaşılmıştır.</w:t>
      </w:r>
    </w:p>
    <w:p w:rsidR="00CA0D76" w:rsidRDefault="00C031CC">
      <w:pPr>
        <w:spacing w:after="120"/>
        <w:jc w:val="both"/>
      </w:pPr>
      <w:r>
        <w:t>Temel bulgular şu şekilde özetlenebilir:</w:t>
      </w:r>
    </w:p>
    <w:p w:rsidR="00CA0D76" w:rsidRDefault="00C031CC">
      <w:pPr>
        <w:pStyle w:val="ListeParagraf"/>
        <w:numPr>
          <w:ilvl w:val="0"/>
          <w:numId w:val="2"/>
        </w:numPr>
        <w:spacing w:after="80"/>
      </w:pPr>
      <w:r>
        <w:t>Mezunların %74,7'si (n=68) aktif olarak çalışmaktadır.</w:t>
      </w:r>
    </w:p>
    <w:p w:rsidR="00CA0D76" w:rsidRDefault="00C031CC">
      <w:pPr>
        <w:pStyle w:val="ListeParagraf"/>
        <w:numPr>
          <w:ilvl w:val="0"/>
          <w:numId w:val="2"/>
        </w:numPr>
        <w:spacing w:after="80"/>
      </w:pPr>
      <w:r>
        <w:t>Çalışanların %50,0'ı kamu sektöründe, %42,6'sı özel sektörde görev yapm</w:t>
      </w:r>
      <w:r>
        <w:t>aktadır.</w:t>
      </w:r>
    </w:p>
    <w:p w:rsidR="00CA0D76" w:rsidRDefault="00C031CC">
      <w:pPr>
        <w:pStyle w:val="ListeParagraf"/>
        <w:numPr>
          <w:ilvl w:val="0"/>
          <w:numId w:val="2"/>
        </w:numPr>
        <w:spacing w:after="80"/>
      </w:pPr>
      <w:r>
        <w:t>Çalışanların %69,1'i mevcut işinin lisans eğitimiyle doğrudan ilişkili olduğunu belirtmiştir.</w:t>
      </w:r>
    </w:p>
    <w:p w:rsidR="00CA0D76" w:rsidRDefault="00C031CC">
      <w:pPr>
        <w:pStyle w:val="ListeParagraf"/>
        <w:numPr>
          <w:ilvl w:val="0"/>
          <w:numId w:val="2"/>
        </w:numPr>
        <w:spacing w:after="80"/>
      </w:pPr>
      <w:r>
        <w:t>Mezunların %45,5'i lisans eğitimini "yeterli", %36,3'ü "kısmen yeterli" bulmuştur.</w:t>
      </w:r>
    </w:p>
    <w:p w:rsidR="00CA0D76" w:rsidRDefault="00C031CC">
      <w:pPr>
        <w:pStyle w:val="ListeParagraf"/>
        <w:numPr>
          <w:ilvl w:val="0"/>
          <w:numId w:val="2"/>
        </w:numPr>
        <w:spacing w:after="80"/>
      </w:pPr>
      <w:r>
        <w:t xml:space="preserve">%44,0 oranında mezun ilk işini 12 ay ve üzerinde bir sürede bulduğunu </w:t>
      </w:r>
      <w:r>
        <w:t>ifade etmiştir.</w:t>
      </w:r>
    </w:p>
    <w:p w:rsidR="00CA0D76" w:rsidRDefault="00C031CC">
      <w:pPr>
        <w:pStyle w:val="ListeParagraf"/>
        <w:numPr>
          <w:ilvl w:val="0"/>
          <w:numId w:val="2"/>
        </w:numPr>
        <w:spacing w:after="80"/>
      </w:pPr>
      <w:r>
        <w:t>Mezunların %64,8'i bir buluşma etkinliğine katılmak istediğini belirtmiş; en çok tercih edilen etkinlik türleri akademik söyleşi/panel ile sosyal etkinlikler olmuştur.</w:t>
      </w:r>
    </w:p>
    <w:p w:rsidR="00CA0D76" w:rsidRDefault="00CA0D76">
      <w:pPr>
        <w:spacing w:after="100"/>
      </w:pPr>
    </w:p>
    <w:p w:rsidR="00CA0D76" w:rsidRDefault="00C031CC">
      <w:pPr>
        <w:pStyle w:val="Balk1"/>
        <w:pBdr>
          <w:bottom w:val="single" w:sz="4" w:space="4" w:color="1B4F72"/>
        </w:pBdr>
      </w:pPr>
      <w:r>
        <w:t>2. Yöntem</w:t>
      </w:r>
    </w:p>
    <w:p w:rsidR="00CA0D76" w:rsidRDefault="00C031CC">
      <w:pPr>
        <w:pStyle w:val="Balk2"/>
      </w:pPr>
      <w:r>
        <w:t>2.1. Örneklem</w:t>
      </w:r>
    </w:p>
    <w:p w:rsidR="00CA0D76" w:rsidRDefault="00C031CC">
      <w:pPr>
        <w:spacing w:after="120"/>
        <w:jc w:val="both"/>
      </w:pPr>
      <w:r>
        <w:t>Araştırmanın hedef kitlesi, BUÜ PDR Anabilim Dalı'ndan 2020–2025 yılları arasında mezun olan 748 bireyden oluşmaktadır. Katılım gönüllülük esasına dayalı olup tüm yanıtlar gizlilik ilkeleri çerçevesinde değerlendirilmiştir.</w:t>
      </w:r>
    </w:p>
    <w:p w:rsidR="00CA0D76" w:rsidRDefault="00C031CC">
      <w:pPr>
        <w:pStyle w:val="Balk2"/>
      </w:pPr>
      <w:r>
        <w:t>2.2. Veri Toplama Aracı</w:t>
      </w:r>
    </w:p>
    <w:p w:rsidR="00CA0D76" w:rsidRDefault="00C031CC">
      <w:pPr>
        <w:spacing w:after="120"/>
        <w:jc w:val="both"/>
      </w:pPr>
      <w:r>
        <w:lastRenderedPageBreak/>
        <w:t>Anket Go</w:t>
      </w:r>
      <w:r>
        <w:t>ogle Forms üzerinden çevrimiçi ortamda uygulanmış; mezunlara SMS yoluyla bağlantı iletilmiştir. Form 22 sorudan oluşmakta olup yaklaşık 5 dakikada tamamlanmaktadır.</w:t>
      </w:r>
    </w:p>
    <w:p w:rsidR="00CA0D76" w:rsidRDefault="00C031CC">
      <w:pPr>
        <w:pStyle w:val="Balk2"/>
      </w:pPr>
      <w:r>
        <w:t>2.3. Katılım Oranı</w:t>
      </w: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5500"/>
        <w:gridCol w:w="2000"/>
        <w:gridCol w:w="1526"/>
      </w:tblGrid>
      <w:tr w:rsidR="00CA0D76">
        <w:tblPrEx>
          <w:tblCellMar>
            <w:top w:w="0" w:type="dxa"/>
            <w:bottom w:w="0" w:type="dxa"/>
          </w:tblCellMar>
        </w:tblPrEx>
        <w:tc>
          <w:tcPr>
            <w:tcW w:w="5500" w:type="dxa"/>
            <w:tcBorders>
              <w:top w:val="single" w:sz="1" w:space="0" w:color="CCCCCC"/>
              <w:left w:val="single" w:sz="1" w:space="0" w:color="CCCCCC"/>
              <w:bottom w:val="single" w:sz="1" w:space="0" w:color="CCCCCC"/>
              <w:right w:val="single" w:sz="1" w:space="0" w:color="CCCCCC"/>
            </w:tcBorders>
            <w:shd w:val="clear" w:color="auto" w:fill="1B4F72"/>
            <w:tcMar>
              <w:top w:w="100" w:type="dxa"/>
              <w:left w:w="150" w:type="dxa"/>
              <w:bottom w:w="100" w:type="dxa"/>
              <w:right w:w="150" w:type="dxa"/>
            </w:tcMar>
          </w:tcPr>
          <w:p w:rsidR="00CA0D76" w:rsidRDefault="00C031CC">
            <w:r>
              <w:rPr>
                <w:b/>
                <w:bCs/>
                <w:color w:val="FFFFFF"/>
                <w:sz w:val="20"/>
                <w:szCs w:val="20"/>
              </w:rPr>
              <w:t>Seçenek</w:t>
            </w:r>
          </w:p>
        </w:tc>
        <w:tc>
          <w:tcPr>
            <w:tcW w:w="2000" w:type="dxa"/>
            <w:tcBorders>
              <w:top w:val="single" w:sz="1" w:space="0" w:color="CCCCCC"/>
              <w:left w:val="single" w:sz="1" w:space="0" w:color="CCCCCC"/>
              <w:bottom w:val="single" w:sz="1" w:space="0" w:color="CCCCCC"/>
              <w:right w:val="single" w:sz="1" w:space="0" w:color="CCCCCC"/>
            </w:tcBorders>
            <w:shd w:val="clear" w:color="auto" w:fill="1B4F72"/>
            <w:tcMar>
              <w:top w:w="100" w:type="dxa"/>
              <w:left w:w="150" w:type="dxa"/>
              <w:bottom w:w="100" w:type="dxa"/>
              <w:right w:w="150" w:type="dxa"/>
            </w:tcMar>
          </w:tcPr>
          <w:p w:rsidR="00CA0D76" w:rsidRDefault="00C031CC">
            <w:pPr>
              <w:jc w:val="center"/>
            </w:pPr>
            <w:proofErr w:type="gramStart"/>
            <w:r>
              <w:rPr>
                <w:b/>
                <w:bCs/>
                <w:color w:val="FFFFFF"/>
                <w:sz w:val="20"/>
                <w:szCs w:val="20"/>
              </w:rPr>
              <w:t>n</w:t>
            </w:r>
            <w:proofErr w:type="gramEnd"/>
          </w:p>
        </w:tc>
        <w:tc>
          <w:tcPr>
            <w:tcW w:w="1526" w:type="dxa"/>
            <w:tcBorders>
              <w:top w:val="single" w:sz="1" w:space="0" w:color="CCCCCC"/>
              <w:left w:val="single" w:sz="1" w:space="0" w:color="CCCCCC"/>
              <w:bottom w:val="single" w:sz="1" w:space="0" w:color="CCCCCC"/>
              <w:right w:val="single" w:sz="1" w:space="0" w:color="CCCCCC"/>
            </w:tcBorders>
            <w:shd w:val="clear" w:color="auto" w:fill="1B4F72"/>
            <w:tcMar>
              <w:top w:w="100" w:type="dxa"/>
              <w:left w:w="150" w:type="dxa"/>
              <w:bottom w:w="100" w:type="dxa"/>
              <w:right w:w="150" w:type="dxa"/>
            </w:tcMar>
          </w:tcPr>
          <w:p w:rsidR="00CA0D76" w:rsidRDefault="00C031CC">
            <w:pPr>
              <w:jc w:val="center"/>
            </w:pPr>
            <w:r>
              <w:rPr>
                <w:b/>
                <w:bCs/>
                <w:color w:val="FFFFFF"/>
                <w:sz w:val="20"/>
                <w:szCs w:val="20"/>
              </w:rPr>
              <w:t>%</w:t>
            </w:r>
          </w:p>
        </w:tc>
      </w:tr>
      <w:tr w:rsidR="00CA0D76">
        <w:tblPrEx>
          <w:tblCellMar>
            <w:top w:w="0" w:type="dxa"/>
            <w:bottom w:w="0" w:type="dxa"/>
          </w:tblCellMar>
        </w:tblPrEx>
        <w:tc>
          <w:tcPr>
            <w:tcW w:w="5500" w:type="dxa"/>
            <w:tcBorders>
              <w:top w:val="single" w:sz="1" w:space="0" w:color="CCCCCC"/>
              <w:left w:val="single" w:sz="1" w:space="0" w:color="CCCCCC"/>
              <w:bottom w:val="single" w:sz="1" w:space="0" w:color="CCCCCC"/>
              <w:right w:val="single" w:sz="1" w:space="0" w:color="CCCCCC"/>
            </w:tcBorders>
            <w:shd w:val="clear" w:color="auto" w:fill="EBF5FB"/>
            <w:tcMar>
              <w:top w:w="80" w:type="dxa"/>
              <w:left w:w="150" w:type="dxa"/>
              <w:bottom w:w="80" w:type="dxa"/>
              <w:right w:w="150" w:type="dxa"/>
            </w:tcMar>
          </w:tcPr>
          <w:p w:rsidR="00CA0D76" w:rsidRDefault="00C031CC">
            <w:r>
              <w:rPr>
                <w:sz w:val="20"/>
                <w:szCs w:val="20"/>
              </w:rPr>
              <w:t>Ulaşılan mezun sayısı</w:t>
            </w:r>
          </w:p>
        </w:tc>
        <w:tc>
          <w:tcPr>
            <w:tcW w:w="2000" w:type="dxa"/>
            <w:tcBorders>
              <w:top w:val="single" w:sz="1" w:space="0" w:color="CCCCCC"/>
              <w:left w:val="single" w:sz="1" w:space="0" w:color="CCCCCC"/>
              <w:bottom w:val="single" w:sz="1" w:space="0" w:color="CCCCCC"/>
              <w:right w:val="single" w:sz="1" w:space="0" w:color="CCCCCC"/>
            </w:tcBorders>
            <w:shd w:val="clear" w:color="auto" w:fill="EBF5FB"/>
            <w:tcMar>
              <w:top w:w="80" w:type="dxa"/>
              <w:left w:w="150" w:type="dxa"/>
              <w:bottom w:w="80" w:type="dxa"/>
              <w:right w:w="150" w:type="dxa"/>
            </w:tcMar>
          </w:tcPr>
          <w:p w:rsidR="00CA0D76" w:rsidRDefault="00C031CC">
            <w:pPr>
              <w:jc w:val="center"/>
            </w:pPr>
            <w:r>
              <w:rPr>
                <w:sz w:val="20"/>
                <w:szCs w:val="20"/>
              </w:rPr>
              <w:t>748</w:t>
            </w:r>
          </w:p>
        </w:tc>
        <w:tc>
          <w:tcPr>
            <w:tcW w:w="1526" w:type="dxa"/>
            <w:tcBorders>
              <w:top w:val="single" w:sz="1" w:space="0" w:color="CCCCCC"/>
              <w:left w:val="single" w:sz="1" w:space="0" w:color="CCCCCC"/>
              <w:bottom w:val="single" w:sz="1" w:space="0" w:color="CCCCCC"/>
              <w:right w:val="single" w:sz="1" w:space="0" w:color="CCCCCC"/>
            </w:tcBorders>
            <w:shd w:val="clear" w:color="auto" w:fill="EBF5FB"/>
            <w:tcMar>
              <w:top w:w="80" w:type="dxa"/>
              <w:left w:w="150" w:type="dxa"/>
              <w:bottom w:w="80" w:type="dxa"/>
              <w:right w:w="150" w:type="dxa"/>
            </w:tcMar>
          </w:tcPr>
          <w:p w:rsidR="00CA0D76" w:rsidRDefault="00C031CC">
            <w:pPr>
              <w:jc w:val="center"/>
            </w:pPr>
            <w:r>
              <w:rPr>
                <w:sz w:val="20"/>
                <w:szCs w:val="20"/>
              </w:rPr>
              <w:t>100,0%</w:t>
            </w:r>
          </w:p>
        </w:tc>
      </w:tr>
      <w:tr w:rsidR="00CA0D76">
        <w:tblPrEx>
          <w:tblCellMar>
            <w:top w:w="0" w:type="dxa"/>
            <w:bottom w:w="0" w:type="dxa"/>
          </w:tblCellMar>
        </w:tblPrEx>
        <w:tc>
          <w:tcPr>
            <w:tcW w:w="550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50" w:type="dxa"/>
              <w:bottom w:w="80" w:type="dxa"/>
              <w:right w:w="150" w:type="dxa"/>
            </w:tcMar>
          </w:tcPr>
          <w:p w:rsidR="00CA0D76" w:rsidRDefault="00C031CC">
            <w:r>
              <w:rPr>
                <w:sz w:val="20"/>
                <w:szCs w:val="20"/>
              </w:rPr>
              <w:t>Anketi tamamlayan mezun sayısı</w:t>
            </w:r>
          </w:p>
        </w:tc>
        <w:tc>
          <w:tcPr>
            <w:tcW w:w="200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50" w:type="dxa"/>
              <w:bottom w:w="80" w:type="dxa"/>
              <w:right w:w="150" w:type="dxa"/>
            </w:tcMar>
          </w:tcPr>
          <w:p w:rsidR="00CA0D76" w:rsidRDefault="00C031CC">
            <w:pPr>
              <w:jc w:val="center"/>
            </w:pPr>
            <w:r>
              <w:rPr>
                <w:sz w:val="20"/>
                <w:szCs w:val="20"/>
              </w:rPr>
              <w:t>91</w:t>
            </w:r>
          </w:p>
        </w:tc>
        <w:tc>
          <w:tcPr>
            <w:tcW w:w="1526" w:type="dxa"/>
            <w:tcBorders>
              <w:top w:val="single" w:sz="1" w:space="0" w:color="CCCCCC"/>
              <w:left w:val="single" w:sz="1" w:space="0" w:color="CCCCCC"/>
              <w:bottom w:val="single" w:sz="1" w:space="0" w:color="CCCCCC"/>
              <w:right w:val="single" w:sz="1" w:space="0" w:color="CCCCCC"/>
            </w:tcBorders>
            <w:shd w:val="clear" w:color="auto" w:fill="FFFFFF"/>
            <w:tcMar>
              <w:top w:w="80" w:type="dxa"/>
              <w:left w:w="150" w:type="dxa"/>
              <w:bottom w:w="80" w:type="dxa"/>
              <w:right w:w="150" w:type="dxa"/>
            </w:tcMar>
          </w:tcPr>
          <w:p w:rsidR="00CA0D76" w:rsidRDefault="00C031CC">
            <w:pPr>
              <w:jc w:val="center"/>
            </w:pPr>
            <w:r>
              <w:rPr>
                <w:sz w:val="20"/>
                <w:szCs w:val="20"/>
              </w:rPr>
              <w:t>%12,2</w:t>
            </w:r>
          </w:p>
        </w:tc>
      </w:tr>
      <w:tr w:rsidR="00CA0D76">
        <w:tblPrEx>
          <w:tblCellMar>
            <w:top w:w="0" w:type="dxa"/>
            <w:bottom w:w="0" w:type="dxa"/>
          </w:tblCellMar>
        </w:tblPrEx>
        <w:tc>
          <w:tcPr>
            <w:tcW w:w="5500" w:type="dxa"/>
            <w:tcBorders>
              <w:top w:val="single" w:sz="1" w:space="0" w:color="CCCCCC"/>
              <w:left w:val="single" w:sz="1" w:space="0" w:color="CCCCCC"/>
              <w:bottom w:val="single" w:sz="1" w:space="0" w:color="CCCCCC"/>
              <w:right w:val="single" w:sz="1" w:space="0" w:color="CCCCCC"/>
            </w:tcBorders>
            <w:shd w:val="clear" w:color="auto" w:fill="EBF5FB"/>
            <w:tcMar>
              <w:top w:w="80" w:type="dxa"/>
              <w:left w:w="150" w:type="dxa"/>
              <w:bottom w:w="80" w:type="dxa"/>
              <w:right w:w="150" w:type="dxa"/>
            </w:tcMar>
          </w:tcPr>
          <w:p w:rsidR="00CA0D76" w:rsidRDefault="00C031CC">
            <w:r>
              <w:rPr>
                <w:sz w:val="20"/>
                <w:szCs w:val="20"/>
              </w:rPr>
              <w:t>Yanıt vermeyen mezun sayısı</w:t>
            </w:r>
          </w:p>
        </w:tc>
        <w:tc>
          <w:tcPr>
            <w:tcW w:w="2000" w:type="dxa"/>
            <w:tcBorders>
              <w:top w:val="single" w:sz="1" w:space="0" w:color="CCCCCC"/>
              <w:left w:val="single" w:sz="1" w:space="0" w:color="CCCCCC"/>
              <w:bottom w:val="single" w:sz="1" w:space="0" w:color="CCCCCC"/>
              <w:right w:val="single" w:sz="1" w:space="0" w:color="CCCCCC"/>
            </w:tcBorders>
            <w:shd w:val="clear" w:color="auto" w:fill="EBF5FB"/>
            <w:tcMar>
              <w:top w:w="80" w:type="dxa"/>
              <w:left w:w="150" w:type="dxa"/>
              <w:bottom w:w="80" w:type="dxa"/>
              <w:right w:w="150" w:type="dxa"/>
            </w:tcMar>
          </w:tcPr>
          <w:p w:rsidR="00CA0D76" w:rsidRDefault="00C031CC">
            <w:pPr>
              <w:jc w:val="center"/>
            </w:pPr>
            <w:r>
              <w:rPr>
                <w:sz w:val="20"/>
                <w:szCs w:val="20"/>
              </w:rPr>
              <w:t>657</w:t>
            </w:r>
          </w:p>
        </w:tc>
        <w:tc>
          <w:tcPr>
            <w:tcW w:w="1526" w:type="dxa"/>
            <w:tcBorders>
              <w:top w:val="single" w:sz="1" w:space="0" w:color="CCCCCC"/>
              <w:left w:val="single" w:sz="1" w:space="0" w:color="CCCCCC"/>
              <w:bottom w:val="single" w:sz="1" w:space="0" w:color="CCCCCC"/>
              <w:right w:val="single" w:sz="1" w:space="0" w:color="CCCCCC"/>
            </w:tcBorders>
            <w:shd w:val="clear" w:color="auto" w:fill="EBF5FB"/>
            <w:tcMar>
              <w:top w:w="80" w:type="dxa"/>
              <w:left w:w="150" w:type="dxa"/>
              <w:bottom w:w="80" w:type="dxa"/>
              <w:right w:w="150" w:type="dxa"/>
            </w:tcMar>
          </w:tcPr>
          <w:p w:rsidR="00CA0D76" w:rsidRDefault="00C031CC">
            <w:pPr>
              <w:jc w:val="center"/>
            </w:pPr>
            <w:r>
              <w:rPr>
                <w:sz w:val="20"/>
                <w:szCs w:val="20"/>
              </w:rPr>
              <w:t>%87,8</w:t>
            </w:r>
          </w:p>
        </w:tc>
      </w:tr>
    </w:tbl>
    <w:p w:rsidR="00CA0D76" w:rsidRDefault="00CA0D76">
      <w:pPr>
        <w:spacing w:after="80"/>
      </w:pP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026"/>
      </w:tblGrid>
      <w:tr w:rsidR="00CA0D76">
        <w:tblPrEx>
          <w:tblCellMar>
            <w:top w:w="0" w:type="dxa"/>
            <w:bottom w:w="0" w:type="dxa"/>
          </w:tblCellMar>
        </w:tblPrEx>
        <w:tc>
          <w:tcPr>
            <w:tcW w:w="9026" w:type="dxa"/>
            <w:tcBorders>
              <w:top w:val="single" w:sz="6" w:space="0" w:color="2980B9"/>
              <w:left w:val="single" w:sz="20" w:space="0" w:color="1B4F72"/>
              <w:bottom w:val="single" w:sz="6" w:space="0" w:color="2980B9"/>
              <w:right w:val="single" w:sz="6" w:space="0" w:color="2980B9"/>
            </w:tcBorders>
            <w:shd w:val="clear" w:color="auto" w:fill="EBF5FB"/>
            <w:tcMar>
              <w:top w:w="120" w:type="dxa"/>
              <w:left w:w="200" w:type="dxa"/>
              <w:bottom w:w="120" w:type="dxa"/>
              <w:right w:w="200" w:type="dxa"/>
            </w:tcMar>
          </w:tcPr>
          <w:p w:rsidR="00CA0D76" w:rsidRDefault="00C031CC">
            <w:r>
              <w:rPr>
                <w:i/>
                <w:iCs/>
              </w:rPr>
              <w:t xml:space="preserve">Not: %12,2'lik yanıt oranı, SMS yoluyla gerçekleştirilen mezun takip çalışmalarında beklenen aralıkta değerlendirilebilir. Daha yüksek katılım oranına ulaşmak için hatırlatma </w:t>
            </w:r>
            <w:proofErr w:type="spellStart"/>
            <w:r>
              <w:rPr>
                <w:i/>
                <w:iCs/>
              </w:rPr>
              <w:t>SMS'i</w:t>
            </w:r>
            <w:proofErr w:type="spellEnd"/>
            <w:r>
              <w:rPr>
                <w:i/>
                <w:iCs/>
              </w:rPr>
              <w:t xml:space="preserve"> gönderimi ve e-posta kanallarının ek olarak kullanılması önerilebilir.</w:t>
            </w:r>
          </w:p>
        </w:tc>
      </w:tr>
    </w:tbl>
    <w:p w:rsidR="00CA0D76" w:rsidRDefault="00CA0D76">
      <w:pPr>
        <w:spacing w:after="100"/>
      </w:pPr>
    </w:p>
    <w:p w:rsidR="00CA0D76" w:rsidRDefault="00C031CC">
      <w:pPr>
        <w:pStyle w:val="Balk1"/>
        <w:pBdr>
          <w:bottom w:val="single" w:sz="4" w:space="4" w:color="1B4F72"/>
        </w:pBdr>
      </w:pPr>
      <w:r>
        <w:t>3. Demografik Bulgular</w:t>
      </w:r>
    </w:p>
    <w:p w:rsidR="00CA0D76" w:rsidRDefault="00C031CC">
      <w:pPr>
        <w:pStyle w:val="Balk2"/>
      </w:pPr>
      <w:r>
        <w:t>3.1. Mezuniyet Yılı Dağılımı</w:t>
      </w:r>
    </w:p>
    <w:p w:rsidR="00CA0D76" w:rsidRDefault="00C031CC">
      <w:pPr>
        <w:spacing w:after="120"/>
        <w:jc w:val="both"/>
      </w:pPr>
      <w:r>
        <w:t xml:space="preserve">Katılımcıların büyük çoğunluğu (%79,1) 2020–2025 yılları arasında mezun olmuştur. Bu bulgu, hedef örneklemin doğru biçimde temsil edildiğini göstermektedir. 2016–2019 yıllarına ait 4 katılımcı ise ilgili </w:t>
      </w:r>
      <w:r>
        <w:t>dönem mezunlarının sisteme kayıtlı iletişim bilgileri üzerinden ulaşılabildiğini ortaya koymaktadır.</w:t>
      </w:r>
    </w:p>
    <w:p w:rsidR="00CA0D76" w:rsidRDefault="00C031CC">
      <w:pPr>
        <w:spacing w:before="120" w:after="160"/>
        <w:jc w:val="center"/>
      </w:pPr>
      <w:r>
        <w:rPr>
          <w:noProof/>
        </w:rPr>
        <w:drawing>
          <wp:inline distT="0" distB="0" distL="0" distR="0">
            <wp:extent cx="5715000" cy="2540000"/>
            <wp:effectExtent l="0" t="0" r="0" b="0"/>
            <wp:docPr id="1" name="Resi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7"/>
                    <a:srcRect/>
                    <a:stretch>
                      <a:fillRect/>
                    </a:stretch>
                  </pic:blipFill>
                  <pic:spPr bwMode="auto">
                    <a:xfrm>
                      <a:off x="0" y="0"/>
                      <a:ext cx="5715000" cy="2540000"/>
                    </a:xfrm>
                    <a:prstGeom prst="rect">
                      <a:avLst/>
                    </a:prstGeom>
                  </pic:spPr>
                </pic:pic>
              </a:graphicData>
            </a:graphic>
          </wp:inline>
        </w:drawing>
      </w:r>
    </w:p>
    <w:p w:rsidR="00CA0D76" w:rsidRDefault="00C031CC">
      <w:pPr>
        <w:pStyle w:val="Balk2"/>
      </w:pPr>
      <w:r>
        <w:t>3.2. Coğrafi Dağılım</w:t>
      </w:r>
    </w:p>
    <w:p w:rsidR="00CA0D76" w:rsidRDefault="00C031CC">
      <w:pPr>
        <w:spacing w:after="120"/>
        <w:jc w:val="both"/>
      </w:pPr>
      <w:r>
        <w:t>Mezunların %34,1'i (n=31) Bursa'da ikamet etmektedir. İstanbul (%12,1, n=11) ve Balıkesir (%6,6, n=6) diğer önemli yerleşim merkezle</w:t>
      </w:r>
      <w:r>
        <w:t>ridir. Katılımcılar Türkiye'nin 20'den fazla iline yayılmış durumdadır; bu durum bölümün ulusal ölçekte mezun dağılımını teyit etmektedir.</w:t>
      </w:r>
    </w:p>
    <w:p w:rsidR="00CA0D76" w:rsidRDefault="00CA0D76">
      <w:pPr>
        <w:spacing w:after="100"/>
      </w:pPr>
    </w:p>
    <w:p w:rsidR="00CA0D76" w:rsidRDefault="00C031CC">
      <w:pPr>
        <w:pStyle w:val="Balk1"/>
        <w:pBdr>
          <w:bottom w:val="single" w:sz="4" w:space="4" w:color="1B4F72"/>
        </w:pBdr>
      </w:pPr>
      <w:r>
        <w:t>4. İstihdam Bulguları</w:t>
      </w:r>
    </w:p>
    <w:p w:rsidR="00CA0D76" w:rsidRDefault="00C031CC">
      <w:pPr>
        <w:pStyle w:val="Balk2"/>
      </w:pPr>
      <w:r>
        <w:t xml:space="preserve">4.1. Çalışma Durumu ve </w:t>
      </w:r>
      <w:proofErr w:type="spellStart"/>
      <w:r>
        <w:t>Sektörel</w:t>
      </w:r>
      <w:proofErr w:type="spellEnd"/>
      <w:r>
        <w:t xml:space="preserve"> Dağılım</w:t>
      </w:r>
    </w:p>
    <w:p w:rsidR="00CA0D76" w:rsidRDefault="00C031CC">
      <w:pPr>
        <w:spacing w:after="120"/>
        <w:jc w:val="both"/>
      </w:pPr>
      <w:r>
        <w:lastRenderedPageBreak/>
        <w:t>Katılımcıların %74,7'si (n=68) anket tarihi itibarıyla aktif olarak çalışmakta, %25,3'ü (n=23) ise herhangi bir işte görev yapmamaktadır.</w:t>
      </w: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4513"/>
        <w:gridCol w:w="4513"/>
      </w:tblGrid>
      <w:tr w:rsidR="00CA0D76">
        <w:tblPrEx>
          <w:tblCellMar>
            <w:top w:w="0" w:type="dxa"/>
            <w:bottom w:w="0" w:type="dxa"/>
          </w:tblCellMar>
        </w:tblPrEx>
        <w:tc>
          <w:tcPr>
            <w:tcW w:w="4513" w:type="dxa"/>
            <w:tcMar>
              <w:top w:w="0" w:type="dxa"/>
              <w:left w:w="0" w:type="dxa"/>
              <w:bottom w:w="0" w:type="dxa"/>
              <w:right w:w="100" w:type="dxa"/>
            </w:tcMar>
          </w:tcPr>
          <w:p w:rsidR="00CA0D76" w:rsidRDefault="00C031CC">
            <w:pPr>
              <w:spacing w:before="120" w:after="160"/>
              <w:jc w:val="center"/>
            </w:pPr>
            <w:r>
              <w:rPr>
                <w:noProof/>
              </w:rPr>
              <w:drawing>
                <wp:inline distT="0" distB="0" distL="0" distR="0">
                  <wp:extent cx="2478157" cy="2072640"/>
                  <wp:effectExtent l="0" t="0" r="0" b="3810"/>
                  <wp:docPr id="2" name="Resim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8"/>
                          <a:srcRect/>
                          <a:stretch>
                            <a:fillRect/>
                          </a:stretch>
                        </pic:blipFill>
                        <pic:spPr bwMode="auto">
                          <a:xfrm>
                            <a:off x="0" y="0"/>
                            <a:ext cx="2484859" cy="2078245"/>
                          </a:xfrm>
                          <a:prstGeom prst="rect">
                            <a:avLst/>
                          </a:prstGeom>
                        </pic:spPr>
                      </pic:pic>
                    </a:graphicData>
                  </a:graphic>
                </wp:inline>
              </w:drawing>
            </w:r>
          </w:p>
        </w:tc>
        <w:tc>
          <w:tcPr>
            <w:tcW w:w="4513" w:type="dxa"/>
            <w:tcMar>
              <w:top w:w="0" w:type="dxa"/>
              <w:left w:w="100" w:type="dxa"/>
              <w:bottom w:w="0" w:type="dxa"/>
              <w:right w:w="0" w:type="dxa"/>
            </w:tcMar>
          </w:tcPr>
          <w:p w:rsidR="00CA0D76" w:rsidRDefault="00C031CC">
            <w:pPr>
              <w:spacing w:before="120" w:after="160"/>
              <w:jc w:val="center"/>
            </w:pPr>
            <w:r>
              <w:rPr>
                <w:noProof/>
              </w:rPr>
              <w:drawing>
                <wp:inline distT="0" distB="0" distL="0" distR="0">
                  <wp:extent cx="2738120" cy="2290064"/>
                  <wp:effectExtent l="0" t="0" r="5080" b="0"/>
                  <wp:docPr id="3" name="Resim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9"/>
                          <a:srcRect/>
                          <a:stretch>
                            <a:fillRect/>
                          </a:stretch>
                        </pic:blipFill>
                        <pic:spPr bwMode="auto">
                          <a:xfrm>
                            <a:off x="0" y="0"/>
                            <a:ext cx="2747886" cy="2298232"/>
                          </a:xfrm>
                          <a:prstGeom prst="rect">
                            <a:avLst/>
                          </a:prstGeom>
                        </pic:spPr>
                      </pic:pic>
                    </a:graphicData>
                  </a:graphic>
                </wp:inline>
              </w:drawing>
            </w:r>
          </w:p>
        </w:tc>
      </w:tr>
    </w:tbl>
    <w:p w:rsidR="00CA0D76" w:rsidRDefault="00C031CC">
      <w:pPr>
        <w:pStyle w:val="Balk2"/>
      </w:pPr>
      <w:r>
        <w:t>4.2. Pozisyon/Unvan Dağılımı</w:t>
      </w:r>
    </w:p>
    <w:p w:rsidR="00CA0D76" w:rsidRDefault="00C031CC">
      <w:pPr>
        <w:spacing w:after="120"/>
        <w:jc w:val="both"/>
      </w:pPr>
      <w:r>
        <w:t>Çalışan mezunların %61,8'i (n=42) okul psikolojik danışmanı olarak görev yapmaktadır. Bu bulgu, lisans programının öncelikli istihdam alanıyla örtüştüğünü göstermektedir.</w:t>
      </w: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5500"/>
        <w:gridCol w:w="2000"/>
        <w:gridCol w:w="1526"/>
      </w:tblGrid>
      <w:tr w:rsidR="00CA0D76">
        <w:tblPrEx>
          <w:tblCellMar>
            <w:top w:w="0" w:type="dxa"/>
            <w:bottom w:w="0" w:type="dxa"/>
          </w:tblCellMar>
        </w:tblPrEx>
        <w:tc>
          <w:tcPr>
            <w:tcW w:w="5500" w:type="dxa"/>
            <w:tcBorders>
              <w:top w:val="single" w:sz="1" w:space="0" w:color="CCCCCC"/>
              <w:left w:val="single" w:sz="1" w:space="0" w:color="CCCCCC"/>
              <w:bottom w:val="single" w:sz="1" w:space="0" w:color="CCCCCC"/>
              <w:right w:val="single" w:sz="1" w:space="0" w:color="CCCCCC"/>
            </w:tcBorders>
            <w:shd w:val="clear" w:color="auto" w:fill="1B4F72"/>
            <w:tcMar>
              <w:top w:w="100" w:type="dxa"/>
              <w:left w:w="150" w:type="dxa"/>
              <w:bottom w:w="100" w:type="dxa"/>
              <w:right w:w="150" w:type="dxa"/>
            </w:tcMar>
          </w:tcPr>
          <w:p w:rsidR="00CA0D76" w:rsidRDefault="00C031CC">
            <w:r>
              <w:rPr>
                <w:b/>
                <w:bCs/>
                <w:color w:val="FFFFFF"/>
                <w:sz w:val="20"/>
                <w:szCs w:val="20"/>
              </w:rPr>
              <w:t>Seçenek</w:t>
            </w:r>
          </w:p>
        </w:tc>
        <w:tc>
          <w:tcPr>
            <w:tcW w:w="2000" w:type="dxa"/>
            <w:tcBorders>
              <w:top w:val="single" w:sz="1" w:space="0" w:color="CCCCCC"/>
              <w:left w:val="single" w:sz="1" w:space="0" w:color="CCCCCC"/>
              <w:bottom w:val="single" w:sz="1" w:space="0" w:color="CCCCCC"/>
              <w:right w:val="single" w:sz="1" w:space="0" w:color="CCCCCC"/>
            </w:tcBorders>
            <w:shd w:val="clear" w:color="auto" w:fill="1B4F72"/>
            <w:tcMar>
              <w:top w:w="100" w:type="dxa"/>
              <w:left w:w="150" w:type="dxa"/>
              <w:bottom w:w="100" w:type="dxa"/>
              <w:right w:w="150" w:type="dxa"/>
            </w:tcMar>
          </w:tcPr>
          <w:p w:rsidR="00CA0D76" w:rsidRDefault="00C031CC">
            <w:pPr>
              <w:jc w:val="center"/>
            </w:pPr>
            <w:proofErr w:type="gramStart"/>
            <w:r>
              <w:rPr>
                <w:b/>
                <w:bCs/>
                <w:color w:val="FFFFFF"/>
                <w:sz w:val="20"/>
                <w:szCs w:val="20"/>
              </w:rPr>
              <w:t>n</w:t>
            </w:r>
            <w:proofErr w:type="gramEnd"/>
          </w:p>
        </w:tc>
        <w:tc>
          <w:tcPr>
            <w:tcW w:w="1526" w:type="dxa"/>
            <w:tcBorders>
              <w:top w:val="single" w:sz="1" w:space="0" w:color="CCCCCC"/>
              <w:left w:val="single" w:sz="1" w:space="0" w:color="CCCCCC"/>
              <w:bottom w:val="single" w:sz="1" w:space="0" w:color="CCCCCC"/>
              <w:right w:val="single" w:sz="1" w:space="0" w:color="CCCCCC"/>
            </w:tcBorders>
            <w:shd w:val="clear" w:color="auto" w:fill="1B4F72"/>
            <w:tcMar>
              <w:top w:w="100" w:type="dxa"/>
              <w:left w:w="150" w:type="dxa"/>
              <w:bottom w:w="100" w:type="dxa"/>
              <w:right w:w="150" w:type="dxa"/>
            </w:tcMar>
          </w:tcPr>
          <w:p w:rsidR="00CA0D76" w:rsidRDefault="00C031CC">
            <w:pPr>
              <w:jc w:val="center"/>
            </w:pPr>
            <w:r>
              <w:rPr>
                <w:b/>
                <w:bCs/>
                <w:color w:val="FFFFFF"/>
                <w:sz w:val="20"/>
                <w:szCs w:val="20"/>
              </w:rPr>
              <w:t>%</w:t>
            </w:r>
          </w:p>
        </w:tc>
      </w:tr>
      <w:tr w:rsidR="00CA0D76">
        <w:tblPrEx>
          <w:tblCellMar>
            <w:top w:w="0" w:type="dxa"/>
            <w:bottom w:w="0" w:type="dxa"/>
          </w:tblCellMar>
        </w:tblPrEx>
        <w:tc>
          <w:tcPr>
            <w:tcW w:w="5500" w:type="dxa"/>
            <w:tcBorders>
              <w:top w:val="single" w:sz="1" w:space="0" w:color="CCCCCC"/>
              <w:left w:val="single" w:sz="1" w:space="0" w:color="CCCCCC"/>
              <w:bottom w:val="single" w:sz="1" w:space="0" w:color="CCCCCC"/>
              <w:right w:val="single" w:sz="1" w:space="0" w:color="CCCCCC"/>
            </w:tcBorders>
            <w:shd w:val="clear" w:color="auto" w:fill="EBF5FB"/>
            <w:tcMar>
              <w:top w:w="80" w:type="dxa"/>
              <w:left w:w="150" w:type="dxa"/>
              <w:bottom w:w="80" w:type="dxa"/>
              <w:right w:w="150" w:type="dxa"/>
            </w:tcMar>
          </w:tcPr>
          <w:p w:rsidR="00CA0D76" w:rsidRDefault="00C031CC">
            <w:r>
              <w:rPr>
                <w:sz w:val="20"/>
                <w:szCs w:val="20"/>
              </w:rPr>
              <w:t>Okul psikolojik danışmanı</w:t>
            </w:r>
          </w:p>
        </w:tc>
        <w:tc>
          <w:tcPr>
            <w:tcW w:w="2000" w:type="dxa"/>
            <w:tcBorders>
              <w:top w:val="single" w:sz="1" w:space="0" w:color="CCCCCC"/>
              <w:left w:val="single" w:sz="1" w:space="0" w:color="CCCCCC"/>
              <w:bottom w:val="single" w:sz="1" w:space="0" w:color="CCCCCC"/>
              <w:right w:val="single" w:sz="1" w:space="0" w:color="CCCCCC"/>
            </w:tcBorders>
            <w:shd w:val="clear" w:color="auto" w:fill="EBF5FB"/>
            <w:tcMar>
              <w:top w:w="80" w:type="dxa"/>
              <w:left w:w="150" w:type="dxa"/>
              <w:bottom w:w="80" w:type="dxa"/>
              <w:right w:w="150" w:type="dxa"/>
            </w:tcMar>
          </w:tcPr>
          <w:p w:rsidR="00CA0D76" w:rsidRDefault="00C031CC">
            <w:pPr>
              <w:jc w:val="center"/>
            </w:pPr>
            <w:r>
              <w:rPr>
                <w:sz w:val="20"/>
                <w:szCs w:val="20"/>
              </w:rPr>
              <w:t>42</w:t>
            </w:r>
          </w:p>
        </w:tc>
        <w:tc>
          <w:tcPr>
            <w:tcW w:w="1526" w:type="dxa"/>
            <w:tcBorders>
              <w:top w:val="single" w:sz="1" w:space="0" w:color="CCCCCC"/>
              <w:left w:val="single" w:sz="1" w:space="0" w:color="CCCCCC"/>
              <w:bottom w:val="single" w:sz="1" w:space="0" w:color="CCCCCC"/>
              <w:right w:val="single" w:sz="1" w:space="0" w:color="CCCCCC"/>
            </w:tcBorders>
            <w:shd w:val="clear" w:color="auto" w:fill="EBF5FB"/>
            <w:tcMar>
              <w:top w:w="80" w:type="dxa"/>
              <w:left w:w="150" w:type="dxa"/>
              <w:bottom w:w="80" w:type="dxa"/>
              <w:right w:w="150" w:type="dxa"/>
            </w:tcMar>
          </w:tcPr>
          <w:p w:rsidR="00CA0D76" w:rsidRDefault="00C031CC">
            <w:pPr>
              <w:jc w:val="center"/>
            </w:pPr>
            <w:r>
              <w:rPr>
                <w:sz w:val="20"/>
                <w:szCs w:val="20"/>
              </w:rPr>
              <w:t>%61,8</w:t>
            </w:r>
          </w:p>
        </w:tc>
      </w:tr>
      <w:tr w:rsidR="00CA0D76">
        <w:tblPrEx>
          <w:tblCellMar>
            <w:top w:w="0" w:type="dxa"/>
            <w:bottom w:w="0" w:type="dxa"/>
          </w:tblCellMar>
        </w:tblPrEx>
        <w:tc>
          <w:tcPr>
            <w:tcW w:w="550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50" w:type="dxa"/>
              <w:bottom w:w="80" w:type="dxa"/>
              <w:right w:w="150" w:type="dxa"/>
            </w:tcMar>
          </w:tcPr>
          <w:p w:rsidR="00CA0D76" w:rsidRDefault="00C031CC">
            <w:r>
              <w:rPr>
                <w:sz w:val="20"/>
                <w:szCs w:val="20"/>
              </w:rPr>
              <w:t>Klinik/özel merkez PDM</w:t>
            </w:r>
          </w:p>
        </w:tc>
        <w:tc>
          <w:tcPr>
            <w:tcW w:w="200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50" w:type="dxa"/>
              <w:bottom w:w="80" w:type="dxa"/>
              <w:right w:w="150" w:type="dxa"/>
            </w:tcMar>
          </w:tcPr>
          <w:p w:rsidR="00CA0D76" w:rsidRDefault="00C031CC">
            <w:pPr>
              <w:jc w:val="center"/>
            </w:pPr>
            <w:r>
              <w:rPr>
                <w:sz w:val="20"/>
                <w:szCs w:val="20"/>
              </w:rPr>
              <w:t>8</w:t>
            </w:r>
          </w:p>
        </w:tc>
        <w:tc>
          <w:tcPr>
            <w:tcW w:w="1526" w:type="dxa"/>
            <w:tcBorders>
              <w:top w:val="single" w:sz="1" w:space="0" w:color="CCCCCC"/>
              <w:left w:val="single" w:sz="1" w:space="0" w:color="CCCCCC"/>
              <w:bottom w:val="single" w:sz="1" w:space="0" w:color="CCCCCC"/>
              <w:right w:val="single" w:sz="1" w:space="0" w:color="CCCCCC"/>
            </w:tcBorders>
            <w:shd w:val="clear" w:color="auto" w:fill="FFFFFF"/>
            <w:tcMar>
              <w:top w:w="80" w:type="dxa"/>
              <w:left w:w="150" w:type="dxa"/>
              <w:bottom w:w="80" w:type="dxa"/>
              <w:right w:w="150" w:type="dxa"/>
            </w:tcMar>
          </w:tcPr>
          <w:p w:rsidR="00CA0D76" w:rsidRDefault="00C031CC">
            <w:pPr>
              <w:jc w:val="center"/>
            </w:pPr>
            <w:r>
              <w:rPr>
                <w:sz w:val="20"/>
                <w:szCs w:val="20"/>
              </w:rPr>
              <w:t>%11,8</w:t>
            </w:r>
          </w:p>
        </w:tc>
      </w:tr>
      <w:tr w:rsidR="00CA0D76">
        <w:tblPrEx>
          <w:tblCellMar>
            <w:top w:w="0" w:type="dxa"/>
            <w:bottom w:w="0" w:type="dxa"/>
          </w:tblCellMar>
        </w:tblPrEx>
        <w:tc>
          <w:tcPr>
            <w:tcW w:w="5500" w:type="dxa"/>
            <w:tcBorders>
              <w:top w:val="single" w:sz="1" w:space="0" w:color="CCCCCC"/>
              <w:left w:val="single" w:sz="1" w:space="0" w:color="CCCCCC"/>
              <w:bottom w:val="single" w:sz="1" w:space="0" w:color="CCCCCC"/>
              <w:right w:val="single" w:sz="1" w:space="0" w:color="CCCCCC"/>
            </w:tcBorders>
            <w:shd w:val="clear" w:color="auto" w:fill="EBF5FB"/>
            <w:tcMar>
              <w:top w:w="80" w:type="dxa"/>
              <w:left w:w="150" w:type="dxa"/>
              <w:bottom w:w="80" w:type="dxa"/>
              <w:right w:w="150" w:type="dxa"/>
            </w:tcMar>
          </w:tcPr>
          <w:p w:rsidR="00CA0D76" w:rsidRDefault="00C031CC">
            <w:r>
              <w:rPr>
                <w:sz w:val="20"/>
                <w:szCs w:val="20"/>
              </w:rPr>
              <w:t>İnsan kaynakları uzmanı</w:t>
            </w:r>
          </w:p>
        </w:tc>
        <w:tc>
          <w:tcPr>
            <w:tcW w:w="2000" w:type="dxa"/>
            <w:tcBorders>
              <w:top w:val="single" w:sz="1" w:space="0" w:color="CCCCCC"/>
              <w:left w:val="single" w:sz="1" w:space="0" w:color="CCCCCC"/>
              <w:bottom w:val="single" w:sz="1" w:space="0" w:color="CCCCCC"/>
              <w:right w:val="single" w:sz="1" w:space="0" w:color="CCCCCC"/>
            </w:tcBorders>
            <w:shd w:val="clear" w:color="auto" w:fill="EBF5FB"/>
            <w:tcMar>
              <w:top w:w="80" w:type="dxa"/>
              <w:left w:w="150" w:type="dxa"/>
              <w:bottom w:w="80" w:type="dxa"/>
              <w:right w:w="150" w:type="dxa"/>
            </w:tcMar>
          </w:tcPr>
          <w:p w:rsidR="00CA0D76" w:rsidRDefault="00C031CC">
            <w:pPr>
              <w:jc w:val="center"/>
            </w:pPr>
            <w:r>
              <w:rPr>
                <w:sz w:val="20"/>
                <w:szCs w:val="20"/>
              </w:rPr>
              <w:t>4</w:t>
            </w:r>
          </w:p>
        </w:tc>
        <w:tc>
          <w:tcPr>
            <w:tcW w:w="1526" w:type="dxa"/>
            <w:tcBorders>
              <w:top w:val="single" w:sz="1" w:space="0" w:color="CCCCCC"/>
              <w:left w:val="single" w:sz="1" w:space="0" w:color="CCCCCC"/>
              <w:bottom w:val="single" w:sz="1" w:space="0" w:color="CCCCCC"/>
              <w:right w:val="single" w:sz="1" w:space="0" w:color="CCCCCC"/>
            </w:tcBorders>
            <w:shd w:val="clear" w:color="auto" w:fill="EBF5FB"/>
            <w:tcMar>
              <w:top w:w="80" w:type="dxa"/>
              <w:left w:w="150" w:type="dxa"/>
              <w:bottom w:w="80" w:type="dxa"/>
              <w:right w:w="150" w:type="dxa"/>
            </w:tcMar>
          </w:tcPr>
          <w:p w:rsidR="00CA0D76" w:rsidRDefault="00C031CC">
            <w:pPr>
              <w:jc w:val="center"/>
            </w:pPr>
            <w:r>
              <w:rPr>
                <w:sz w:val="20"/>
                <w:szCs w:val="20"/>
              </w:rPr>
              <w:t>%5,9</w:t>
            </w:r>
          </w:p>
        </w:tc>
      </w:tr>
      <w:tr w:rsidR="00CA0D76">
        <w:tblPrEx>
          <w:tblCellMar>
            <w:top w:w="0" w:type="dxa"/>
            <w:bottom w:w="0" w:type="dxa"/>
          </w:tblCellMar>
        </w:tblPrEx>
        <w:tc>
          <w:tcPr>
            <w:tcW w:w="550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50" w:type="dxa"/>
              <w:bottom w:w="80" w:type="dxa"/>
              <w:right w:w="150" w:type="dxa"/>
            </w:tcMar>
          </w:tcPr>
          <w:p w:rsidR="00CA0D76" w:rsidRDefault="00C031CC">
            <w:r>
              <w:rPr>
                <w:sz w:val="20"/>
                <w:szCs w:val="20"/>
              </w:rPr>
              <w:t>Alan dışı pozisyon</w:t>
            </w:r>
          </w:p>
        </w:tc>
        <w:tc>
          <w:tcPr>
            <w:tcW w:w="200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50" w:type="dxa"/>
              <w:bottom w:w="80" w:type="dxa"/>
              <w:right w:w="150" w:type="dxa"/>
            </w:tcMar>
          </w:tcPr>
          <w:p w:rsidR="00CA0D76" w:rsidRDefault="00C031CC">
            <w:pPr>
              <w:jc w:val="center"/>
            </w:pPr>
            <w:r>
              <w:rPr>
                <w:sz w:val="20"/>
                <w:szCs w:val="20"/>
              </w:rPr>
              <w:t>4</w:t>
            </w:r>
          </w:p>
        </w:tc>
        <w:tc>
          <w:tcPr>
            <w:tcW w:w="1526" w:type="dxa"/>
            <w:tcBorders>
              <w:top w:val="single" w:sz="1" w:space="0" w:color="CCCCCC"/>
              <w:left w:val="single" w:sz="1" w:space="0" w:color="CCCCCC"/>
              <w:bottom w:val="single" w:sz="1" w:space="0" w:color="CCCCCC"/>
              <w:right w:val="single" w:sz="1" w:space="0" w:color="CCCCCC"/>
            </w:tcBorders>
            <w:shd w:val="clear" w:color="auto" w:fill="FFFFFF"/>
            <w:tcMar>
              <w:top w:w="80" w:type="dxa"/>
              <w:left w:w="150" w:type="dxa"/>
              <w:bottom w:w="80" w:type="dxa"/>
              <w:right w:w="150" w:type="dxa"/>
            </w:tcMar>
          </w:tcPr>
          <w:p w:rsidR="00CA0D76" w:rsidRDefault="00C031CC">
            <w:pPr>
              <w:jc w:val="center"/>
            </w:pPr>
            <w:r>
              <w:rPr>
                <w:sz w:val="20"/>
                <w:szCs w:val="20"/>
              </w:rPr>
              <w:t>%5,9</w:t>
            </w:r>
          </w:p>
        </w:tc>
      </w:tr>
      <w:tr w:rsidR="00CA0D76">
        <w:tblPrEx>
          <w:tblCellMar>
            <w:top w:w="0" w:type="dxa"/>
            <w:bottom w:w="0" w:type="dxa"/>
          </w:tblCellMar>
        </w:tblPrEx>
        <w:tc>
          <w:tcPr>
            <w:tcW w:w="5500" w:type="dxa"/>
            <w:tcBorders>
              <w:top w:val="single" w:sz="1" w:space="0" w:color="CCCCCC"/>
              <w:left w:val="single" w:sz="1" w:space="0" w:color="CCCCCC"/>
              <w:bottom w:val="single" w:sz="1" w:space="0" w:color="CCCCCC"/>
              <w:right w:val="single" w:sz="1" w:space="0" w:color="CCCCCC"/>
            </w:tcBorders>
            <w:shd w:val="clear" w:color="auto" w:fill="EBF5FB"/>
            <w:tcMar>
              <w:top w:w="80" w:type="dxa"/>
              <w:left w:w="150" w:type="dxa"/>
              <w:bottom w:w="80" w:type="dxa"/>
              <w:right w:w="150" w:type="dxa"/>
            </w:tcMar>
          </w:tcPr>
          <w:p w:rsidR="00CA0D76" w:rsidRDefault="00C031CC">
            <w:r>
              <w:rPr>
                <w:sz w:val="20"/>
                <w:szCs w:val="20"/>
              </w:rPr>
              <w:t>Diğer</w:t>
            </w:r>
          </w:p>
        </w:tc>
        <w:tc>
          <w:tcPr>
            <w:tcW w:w="2000" w:type="dxa"/>
            <w:tcBorders>
              <w:top w:val="single" w:sz="1" w:space="0" w:color="CCCCCC"/>
              <w:left w:val="single" w:sz="1" w:space="0" w:color="CCCCCC"/>
              <w:bottom w:val="single" w:sz="1" w:space="0" w:color="CCCCCC"/>
              <w:right w:val="single" w:sz="1" w:space="0" w:color="CCCCCC"/>
            </w:tcBorders>
            <w:shd w:val="clear" w:color="auto" w:fill="EBF5FB"/>
            <w:tcMar>
              <w:top w:w="80" w:type="dxa"/>
              <w:left w:w="150" w:type="dxa"/>
              <w:bottom w:w="80" w:type="dxa"/>
              <w:right w:w="150" w:type="dxa"/>
            </w:tcMar>
          </w:tcPr>
          <w:p w:rsidR="00CA0D76" w:rsidRDefault="00C031CC">
            <w:pPr>
              <w:jc w:val="center"/>
            </w:pPr>
            <w:r>
              <w:rPr>
                <w:sz w:val="20"/>
                <w:szCs w:val="20"/>
              </w:rPr>
              <w:t>10</w:t>
            </w:r>
          </w:p>
        </w:tc>
        <w:tc>
          <w:tcPr>
            <w:tcW w:w="1526" w:type="dxa"/>
            <w:tcBorders>
              <w:top w:val="single" w:sz="1" w:space="0" w:color="CCCCCC"/>
              <w:left w:val="single" w:sz="1" w:space="0" w:color="CCCCCC"/>
              <w:bottom w:val="single" w:sz="1" w:space="0" w:color="CCCCCC"/>
              <w:right w:val="single" w:sz="1" w:space="0" w:color="CCCCCC"/>
            </w:tcBorders>
            <w:shd w:val="clear" w:color="auto" w:fill="EBF5FB"/>
            <w:tcMar>
              <w:top w:w="80" w:type="dxa"/>
              <w:left w:w="150" w:type="dxa"/>
              <w:bottom w:w="80" w:type="dxa"/>
              <w:right w:w="150" w:type="dxa"/>
            </w:tcMar>
          </w:tcPr>
          <w:p w:rsidR="00CA0D76" w:rsidRDefault="00C031CC">
            <w:pPr>
              <w:jc w:val="center"/>
            </w:pPr>
            <w:r>
              <w:rPr>
                <w:sz w:val="20"/>
                <w:szCs w:val="20"/>
              </w:rPr>
              <w:t>%14,7</w:t>
            </w:r>
          </w:p>
        </w:tc>
      </w:tr>
    </w:tbl>
    <w:p w:rsidR="00CA0D76" w:rsidRDefault="00CA0D76">
      <w:pPr>
        <w:spacing w:after="80"/>
      </w:pPr>
    </w:p>
    <w:p w:rsidR="00CA0D76" w:rsidRDefault="00C031CC">
      <w:pPr>
        <w:pStyle w:val="Balk2"/>
      </w:pPr>
      <w:r>
        <w:t>4.3. İlk İş Bulma Süresi</w:t>
      </w:r>
    </w:p>
    <w:p w:rsidR="00CA0D76" w:rsidRDefault="00C031CC">
      <w:pPr>
        <w:spacing w:after="120"/>
        <w:jc w:val="both"/>
      </w:pPr>
      <w:r>
        <w:t>Çalışanların %44,1'i ilk işini 12 ay ve üzerinde bir sürede bulduğunu belirtmiştir. Bu oran, iş piyasasına girişteki güçlüklere işaret etmektedir. 0–3 ay içinde iş bulanların oranı %22,1'de kalmaktadır.</w:t>
      </w:r>
    </w:p>
    <w:p w:rsidR="00CA0D76" w:rsidRDefault="00C031CC">
      <w:pPr>
        <w:spacing w:before="120" w:after="160"/>
        <w:jc w:val="center"/>
      </w:pPr>
      <w:r>
        <w:rPr>
          <w:noProof/>
        </w:rPr>
        <w:drawing>
          <wp:inline distT="0" distB="0" distL="0" distR="0">
            <wp:extent cx="5207000" cy="2603500"/>
            <wp:effectExtent l="0" t="0" r="0" b="0"/>
            <wp:docPr id="4" name="Resim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0"/>
                    <a:srcRect/>
                    <a:stretch>
                      <a:fillRect/>
                    </a:stretch>
                  </pic:blipFill>
                  <pic:spPr bwMode="auto">
                    <a:xfrm>
                      <a:off x="0" y="0"/>
                      <a:ext cx="5207000" cy="2603500"/>
                    </a:xfrm>
                    <a:prstGeom prst="rect">
                      <a:avLst/>
                    </a:prstGeom>
                  </pic:spPr>
                </pic:pic>
              </a:graphicData>
            </a:graphic>
          </wp:inline>
        </w:drawing>
      </w:r>
    </w:p>
    <w:p w:rsidR="00CA0D76" w:rsidRDefault="00CA0D76">
      <w:pPr>
        <w:spacing w:after="100"/>
      </w:pPr>
    </w:p>
    <w:p w:rsidR="00CA0D76" w:rsidRDefault="00C031CC">
      <w:pPr>
        <w:pStyle w:val="Balk1"/>
        <w:pBdr>
          <w:bottom w:val="single" w:sz="4" w:space="4" w:color="1B4F72"/>
        </w:pBdr>
      </w:pPr>
      <w:r>
        <w:t>5. Eğitim Kalitesinin Değerlendirilmesi</w:t>
      </w:r>
    </w:p>
    <w:p w:rsidR="00CA0D76" w:rsidRDefault="00C031CC">
      <w:pPr>
        <w:pStyle w:val="Balk2"/>
      </w:pPr>
      <w:r>
        <w:t>5.1. Temel</w:t>
      </w:r>
      <w:r>
        <w:t xml:space="preserve"> Bulgular</w:t>
      </w:r>
    </w:p>
    <w:p w:rsidR="00CA0D76" w:rsidRDefault="00C031CC">
      <w:pPr>
        <w:spacing w:after="120"/>
        <w:jc w:val="both"/>
      </w:pPr>
      <w:r>
        <w:t>Mezunlara lisans eğitimlerini üç farklı boyutta değerlendirmeleri istenmiştir: (1) mevcut işleriyle ilişki düzeyi, (2) iş yaşamına hazırlık düzeyi ve (3) staj/uygulama derslerinin iş bulmaya etkisi.</w:t>
      </w:r>
    </w:p>
    <w:p w:rsidR="00CA0D76" w:rsidRDefault="00C031CC">
      <w:pPr>
        <w:spacing w:before="120" w:after="160"/>
        <w:jc w:val="center"/>
      </w:pPr>
      <w:r>
        <w:rPr>
          <w:noProof/>
        </w:rPr>
        <w:drawing>
          <wp:inline distT="0" distB="0" distL="0" distR="0">
            <wp:extent cx="5882640" cy="2036298"/>
            <wp:effectExtent l="0" t="0" r="3810" b="2540"/>
            <wp:docPr id="5" name="Resim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1"/>
                    <a:srcRect/>
                    <a:stretch>
                      <a:fillRect/>
                    </a:stretch>
                  </pic:blipFill>
                  <pic:spPr bwMode="auto">
                    <a:xfrm>
                      <a:off x="0" y="0"/>
                      <a:ext cx="5901223" cy="2042731"/>
                    </a:xfrm>
                    <a:prstGeom prst="rect">
                      <a:avLst/>
                    </a:prstGeom>
                  </pic:spPr>
                </pic:pic>
              </a:graphicData>
            </a:graphic>
          </wp:inline>
        </w:drawing>
      </w:r>
    </w:p>
    <w:p w:rsidR="00CA0D76" w:rsidRDefault="00C031CC">
      <w:pPr>
        <w:pStyle w:val="Balk2"/>
      </w:pPr>
      <w:r>
        <w:t>5.2. Önerilen Ders Başlıkları</w:t>
      </w:r>
    </w:p>
    <w:p w:rsidR="00CA0D76" w:rsidRDefault="00C031CC">
      <w:pPr>
        <w:spacing w:after="120"/>
        <w:jc w:val="both"/>
      </w:pPr>
      <w:r>
        <w:t>Mezunların açık uçlu yanıtlarında öne çıkan ders önerileri aşağıda sıralanmaktadır:</w:t>
      </w:r>
    </w:p>
    <w:p w:rsidR="00CA0D76" w:rsidRDefault="00C031CC">
      <w:pPr>
        <w:pStyle w:val="ListeParagraf"/>
        <w:numPr>
          <w:ilvl w:val="0"/>
          <w:numId w:val="2"/>
        </w:numPr>
        <w:spacing w:after="80"/>
      </w:pPr>
      <w:r>
        <w:t>Bilişsel Davranışçı Terapi (BDT) / Psikoterapi uygulamaları ve ekollerinin derinlemesine öğretimi</w:t>
      </w:r>
    </w:p>
    <w:p w:rsidR="00CA0D76" w:rsidRDefault="00C031CC">
      <w:pPr>
        <w:pStyle w:val="ListeParagraf"/>
        <w:numPr>
          <w:ilvl w:val="0"/>
          <w:numId w:val="2"/>
        </w:numPr>
        <w:spacing w:after="80"/>
      </w:pPr>
      <w:r>
        <w:t xml:space="preserve">Dijital beceriler, e-rehberlik ve teknoloji </w:t>
      </w:r>
      <w:proofErr w:type="gramStart"/>
      <w:r>
        <w:t>entegrasyonu</w:t>
      </w:r>
      <w:proofErr w:type="gramEnd"/>
    </w:p>
    <w:p w:rsidR="00CA0D76" w:rsidRDefault="00C031CC">
      <w:pPr>
        <w:pStyle w:val="ListeParagraf"/>
        <w:numPr>
          <w:ilvl w:val="0"/>
          <w:numId w:val="2"/>
        </w:numPr>
        <w:spacing w:after="80"/>
      </w:pPr>
      <w:r>
        <w:t>Mevzuat ve mesleki etik uygulamaları</w:t>
      </w:r>
    </w:p>
    <w:p w:rsidR="00CA0D76" w:rsidRDefault="00C031CC">
      <w:pPr>
        <w:pStyle w:val="ListeParagraf"/>
        <w:numPr>
          <w:ilvl w:val="0"/>
          <w:numId w:val="2"/>
        </w:numPr>
        <w:spacing w:after="80"/>
      </w:pPr>
      <w:proofErr w:type="spellStart"/>
      <w:r>
        <w:t>Süpervizyon</w:t>
      </w:r>
      <w:proofErr w:type="spellEnd"/>
      <w:r>
        <w:t xml:space="preserve"> ve vaka çalışmaları</w:t>
      </w:r>
    </w:p>
    <w:p w:rsidR="00CA0D76" w:rsidRDefault="00C031CC">
      <w:pPr>
        <w:pStyle w:val="ListeParagraf"/>
        <w:numPr>
          <w:ilvl w:val="0"/>
          <w:numId w:val="2"/>
        </w:numPr>
        <w:spacing w:after="80"/>
      </w:pPr>
      <w:r>
        <w:t>Problem çözme ve etkili iletişim becerileri</w:t>
      </w:r>
    </w:p>
    <w:p w:rsidR="00CA0D76" w:rsidRDefault="00C031CC">
      <w:pPr>
        <w:pStyle w:val="ListeParagraf"/>
        <w:numPr>
          <w:ilvl w:val="0"/>
          <w:numId w:val="2"/>
        </w:numPr>
        <w:spacing w:after="80"/>
      </w:pPr>
      <w:r>
        <w:t>Okul psikolojisi dışı alanlara yönelik seçmeli dersler (İK, özel eğitim, klinik)</w:t>
      </w:r>
    </w:p>
    <w:p w:rsidR="00CA0D76" w:rsidRDefault="00CA0D76">
      <w:pPr>
        <w:spacing w:after="100"/>
      </w:pPr>
    </w:p>
    <w:p w:rsidR="00CA0D76" w:rsidRDefault="00C031CC">
      <w:pPr>
        <w:pStyle w:val="Balk1"/>
        <w:pBdr>
          <w:bottom w:val="single" w:sz="4" w:space="4" w:color="1B4F72"/>
        </w:pBdr>
      </w:pPr>
      <w:r>
        <w:t>6. Mezun–Bölüm İlişkileri ve İletişim</w:t>
      </w:r>
    </w:p>
    <w:p w:rsidR="00CA0D76" w:rsidRDefault="00C031CC">
      <w:pPr>
        <w:pStyle w:val="Balk2"/>
      </w:pPr>
      <w:r>
        <w:t>6.1. Buluşma İsteği</w:t>
      </w:r>
    </w:p>
    <w:p w:rsidR="00CA0D76" w:rsidRDefault="00C031CC">
      <w:pPr>
        <w:spacing w:after="120"/>
        <w:jc w:val="both"/>
      </w:pPr>
      <w:r>
        <w:t>Kat</w:t>
      </w:r>
      <w:r>
        <w:t>ılımcıların %64,8'i (n=59) bir mezun buluşmasına katılmak istediğini, %28,6'sı (n=26) kararsız olduğunu, yalnızca %6,6'sı (n=6) katılmak istemediğini bildirmiştir.</w:t>
      </w: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5500"/>
        <w:gridCol w:w="2000"/>
        <w:gridCol w:w="1526"/>
      </w:tblGrid>
      <w:tr w:rsidR="00CA0D76">
        <w:tblPrEx>
          <w:tblCellMar>
            <w:top w:w="0" w:type="dxa"/>
            <w:bottom w:w="0" w:type="dxa"/>
          </w:tblCellMar>
        </w:tblPrEx>
        <w:tc>
          <w:tcPr>
            <w:tcW w:w="5500" w:type="dxa"/>
            <w:tcBorders>
              <w:top w:val="single" w:sz="1" w:space="0" w:color="CCCCCC"/>
              <w:left w:val="single" w:sz="1" w:space="0" w:color="CCCCCC"/>
              <w:bottom w:val="single" w:sz="1" w:space="0" w:color="CCCCCC"/>
              <w:right w:val="single" w:sz="1" w:space="0" w:color="CCCCCC"/>
            </w:tcBorders>
            <w:shd w:val="clear" w:color="auto" w:fill="1B4F72"/>
            <w:tcMar>
              <w:top w:w="100" w:type="dxa"/>
              <w:left w:w="150" w:type="dxa"/>
              <w:bottom w:w="100" w:type="dxa"/>
              <w:right w:w="150" w:type="dxa"/>
            </w:tcMar>
          </w:tcPr>
          <w:p w:rsidR="00CA0D76" w:rsidRDefault="00C031CC">
            <w:r>
              <w:rPr>
                <w:b/>
                <w:bCs/>
                <w:color w:val="FFFFFF"/>
                <w:sz w:val="20"/>
                <w:szCs w:val="20"/>
              </w:rPr>
              <w:t>Seçenek</w:t>
            </w:r>
          </w:p>
        </w:tc>
        <w:tc>
          <w:tcPr>
            <w:tcW w:w="2000" w:type="dxa"/>
            <w:tcBorders>
              <w:top w:val="single" w:sz="1" w:space="0" w:color="CCCCCC"/>
              <w:left w:val="single" w:sz="1" w:space="0" w:color="CCCCCC"/>
              <w:bottom w:val="single" w:sz="1" w:space="0" w:color="CCCCCC"/>
              <w:right w:val="single" w:sz="1" w:space="0" w:color="CCCCCC"/>
            </w:tcBorders>
            <w:shd w:val="clear" w:color="auto" w:fill="1B4F72"/>
            <w:tcMar>
              <w:top w:w="100" w:type="dxa"/>
              <w:left w:w="150" w:type="dxa"/>
              <w:bottom w:w="100" w:type="dxa"/>
              <w:right w:w="150" w:type="dxa"/>
            </w:tcMar>
          </w:tcPr>
          <w:p w:rsidR="00CA0D76" w:rsidRDefault="00C031CC">
            <w:pPr>
              <w:jc w:val="center"/>
            </w:pPr>
            <w:proofErr w:type="gramStart"/>
            <w:r>
              <w:rPr>
                <w:b/>
                <w:bCs/>
                <w:color w:val="FFFFFF"/>
                <w:sz w:val="20"/>
                <w:szCs w:val="20"/>
              </w:rPr>
              <w:t>n</w:t>
            </w:r>
            <w:proofErr w:type="gramEnd"/>
          </w:p>
        </w:tc>
        <w:tc>
          <w:tcPr>
            <w:tcW w:w="1526" w:type="dxa"/>
            <w:tcBorders>
              <w:top w:val="single" w:sz="1" w:space="0" w:color="CCCCCC"/>
              <w:left w:val="single" w:sz="1" w:space="0" w:color="CCCCCC"/>
              <w:bottom w:val="single" w:sz="1" w:space="0" w:color="CCCCCC"/>
              <w:right w:val="single" w:sz="1" w:space="0" w:color="CCCCCC"/>
            </w:tcBorders>
            <w:shd w:val="clear" w:color="auto" w:fill="1B4F72"/>
            <w:tcMar>
              <w:top w:w="100" w:type="dxa"/>
              <w:left w:w="150" w:type="dxa"/>
              <w:bottom w:w="100" w:type="dxa"/>
              <w:right w:w="150" w:type="dxa"/>
            </w:tcMar>
          </w:tcPr>
          <w:p w:rsidR="00CA0D76" w:rsidRDefault="00C031CC">
            <w:pPr>
              <w:jc w:val="center"/>
            </w:pPr>
            <w:r>
              <w:rPr>
                <w:b/>
                <w:bCs/>
                <w:color w:val="FFFFFF"/>
                <w:sz w:val="20"/>
                <w:szCs w:val="20"/>
              </w:rPr>
              <w:t>%</w:t>
            </w:r>
          </w:p>
        </w:tc>
      </w:tr>
      <w:tr w:rsidR="00CA0D76">
        <w:tblPrEx>
          <w:tblCellMar>
            <w:top w:w="0" w:type="dxa"/>
            <w:bottom w:w="0" w:type="dxa"/>
          </w:tblCellMar>
        </w:tblPrEx>
        <w:tc>
          <w:tcPr>
            <w:tcW w:w="5500" w:type="dxa"/>
            <w:tcBorders>
              <w:top w:val="single" w:sz="1" w:space="0" w:color="CCCCCC"/>
              <w:left w:val="single" w:sz="1" w:space="0" w:color="CCCCCC"/>
              <w:bottom w:val="single" w:sz="1" w:space="0" w:color="CCCCCC"/>
              <w:right w:val="single" w:sz="1" w:space="0" w:color="CCCCCC"/>
            </w:tcBorders>
            <w:shd w:val="clear" w:color="auto" w:fill="EBF5FB"/>
            <w:tcMar>
              <w:top w:w="80" w:type="dxa"/>
              <w:left w:w="150" w:type="dxa"/>
              <w:bottom w:w="80" w:type="dxa"/>
              <w:right w:w="150" w:type="dxa"/>
            </w:tcMar>
          </w:tcPr>
          <w:p w:rsidR="00CA0D76" w:rsidRDefault="00C031CC">
            <w:r>
              <w:rPr>
                <w:sz w:val="20"/>
                <w:szCs w:val="20"/>
              </w:rPr>
              <w:t>Evet</w:t>
            </w:r>
          </w:p>
        </w:tc>
        <w:tc>
          <w:tcPr>
            <w:tcW w:w="2000" w:type="dxa"/>
            <w:tcBorders>
              <w:top w:val="single" w:sz="1" w:space="0" w:color="CCCCCC"/>
              <w:left w:val="single" w:sz="1" w:space="0" w:color="CCCCCC"/>
              <w:bottom w:val="single" w:sz="1" w:space="0" w:color="CCCCCC"/>
              <w:right w:val="single" w:sz="1" w:space="0" w:color="CCCCCC"/>
            </w:tcBorders>
            <w:shd w:val="clear" w:color="auto" w:fill="EBF5FB"/>
            <w:tcMar>
              <w:top w:w="80" w:type="dxa"/>
              <w:left w:w="150" w:type="dxa"/>
              <w:bottom w:w="80" w:type="dxa"/>
              <w:right w:w="150" w:type="dxa"/>
            </w:tcMar>
          </w:tcPr>
          <w:p w:rsidR="00CA0D76" w:rsidRDefault="00C031CC">
            <w:pPr>
              <w:jc w:val="center"/>
            </w:pPr>
            <w:r>
              <w:rPr>
                <w:sz w:val="20"/>
                <w:szCs w:val="20"/>
              </w:rPr>
              <w:t>59</w:t>
            </w:r>
          </w:p>
        </w:tc>
        <w:tc>
          <w:tcPr>
            <w:tcW w:w="1526" w:type="dxa"/>
            <w:tcBorders>
              <w:top w:val="single" w:sz="1" w:space="0" w:color="CCCCCC"/>
              <w:left w:val="single" w:sz="1" w:space="0" w:color="CCCCCC"/>
              <w:bottom w:val="single" w:sz="1" w:space="0" w:color="CCCCCC"/>
              <w:right w:val="single" w:sz="1" w:space="0" w:color="CCCCCC"/>
            </w:tcBorders>
            <w:shd w:val="clear" w:color="auto" w:fill="EBF5FB"/>
            <w:tcMar>
              <w:top w:w="80" w:type="dxa"/>
              <w:left w:w="150" w:type="dxa"/>
              <w:bottom w:w="80" w:type="dxa"/>
              <w:right w:w="150" w:type="dxa"/>
            </w:tcMar>
          </w:tcPr>
          <w:p w:rsidR="00CA0D76" w:rsidRDefault="00C031CC">
            <w:pPr>
              <w:jc w:val="center"/>
            </w:pPr>
            <w:r>
              <w:rPr>
                <w:sz w:val="20"/>
                <w:szCs w:val="20"/>
              </w:rPr>
              <w:t>%64,8</w:t>
            </w:r>
          </w:p>
        </w:tc>
      </w:tr>
      <w:tr w:rsidR="00CA0D76">
        <w:tblPrEx>
          <w:tblCellMar>
            <w:top w:w="0" w:type="dxa"/>
            <w:bottom w:w="0" w:type="dxa"/>
          </w:tblCellMar>
        </w:tblPrEx>
        <w:tc>
          <w:tcPr>
            <w:tcW w:w="550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50" w:type="dxa"/>
              <w:bottom w:w="80" w:type="dxa"/>
              <w:right w:w="150" w:type="dxa"/>
            </w:tcMar>
          </w:tcPr>
          <w:p w:rsidR="00CA0D76" w:rsidRDefault="00C031CC">
            <w:r>
              <w:rPr>
                <w:sz w:val="20"/>
                <w:szCs w:val="20"/>
              </w:rPr>
              <w:t>Kararsızım</w:t>
            </w:r>
          </w:p>
        </w:tc>
        <w:tc>
          <w:tcPr>
            <w:tcW w:w="200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50" w:type="dxa"/>
              <w:bottom w:w="80" w:type="dxa"/>
              <w:right w:w="150" w:type="dxa"/>
            </w:tcMar>
          </w:tcPr>
          <w:p w:rsidR="00CA0D76" w:rsidRDefault="00C031CC">
            <w:pPr>
              <w:jc w:val="center"/>
            </w:pPr>
            <w:r>
              <w:rPr>
                <w:sz w:val="20"/>
                <w:szCs w:val="20"/>
              </w:rPr>
              <w:t>26</w:t>
            </w:r>
          </w:p>
        </w:tc>
        <w:tc>
          <w:tcPr>
            <w:tcW w:w="1526" w:type="dxa"/>
            <w:tcBorders>
              <w:top w:val="single" w:sz="1" w:space="0" w:color="CCCCCC"/>
              <w:left w:val="single" w:sz="1" w:space="0" w:color="CCCCCC"/>
              <w:bottom w:val="single" w:sz="1" w:space="0" w:color="CCCCCC"/>
              <w:right w:val="single" w:sz="1" w:space="0" w:color="CCCCCC"/>
            </w:tcBorders>
            <w:shd w:val="clear" w:color="auto" w:fill="FFFFFF"/>
            <w:tcMar>
              <w:top w:w="80" w:type="dxa"/>
              <w:left w:w="150" w:type="dxa"/>
              <w:bottom w:w="80" w:type="dxa"/>
              <w:right w:w="150" w:type="dxa"/>
            </w:tcMar>
          </w:tcPr>
          <w:p w:rsidR="00CA0D76" w:rsidRDefault="00C031CC">
            <w:pPr>
              <w:jc w:val="center"/>
            </w:pPr>
            <w:r>
              <w:rPr>
                <w:sz w:val="20"/>
                <w:szCs w:val="20"/>
              </w:rPr>
              <w:t>%28,6</w:t>
            </w:r>
          </w:p>
        </w:tc>
      </w:tr>
      <w:tr w:rsidR="00CA0D76">
        <w:tblPrEx>
          <w:tblCellMar>
            <w:top w:w="0" w:type="dxa"/>
            <w:bottom w:w="0" w:type="dxa"/>
          </w:tblCellMar>
        </w:tblPrEx>
        <w:tc>
          <w:tcPr>
            <w:tcW w:w="5500" w:type="dxa"/>
            <w:tcBorders>
              <w:top w:val="single" w:sz="1" w:space="0" w:color="CCCCCC"/>
              <w:left w:val="single" w:sz="1" w:space="0" w:color="CCCCCC"/>
              <w:bottom w:val="single" w:sz="1" w:space="0" w:color="CCCCCC"/>
              <w:right w:val="single" w:sz="1" w:space="0" w:color="CCCCCC"/>
            </w:tcBorders>
            <w:shd w:val="clear" w:color="auto" w:fill="EBF5FB"/>
            <w:tcMar>
              <w:top w:w="80" w:type="dxa"/>
              <w:left w:w="150" w:type="dxa"/>
              <w:bottom w:w="80" w:type="dxa"/>
              <w:right w:w="150" w:type="dxa"/>
            </w:tcMar>
          </w:tcPr>
          <w:p w:rsidR="00CA0D76" w:rsidRDefault="00C031CC">
            <w:r>
              <w:rPr>
                <w:sz w:val="20"/>
                <w:szCs w:val="20"/>
              </w:rPr>
              <w:t>Hayır</w:t>
            </w:r>
          </w:p>
        </w:tc>
        <w:tc>
          <w:tcPr>
            <w:tcW w:w="2000" w:type="dxa"/>
            <w:tcBorders>
              <w:top w:val="single" w:sz="1" w:space="0" w:color="CCCCCC"/>
              <w:left w:val="single" w:sz="1" w:space="0" w:color="CCCCCC"/>
              <w:bottom w:val="single" w:sz="1" w:space="0" w:color="CCCCCC"/>
              <w:right w:val="single" w:sz="1" w:space="0" w:color="CCCCCC"/>
            </w:tcBorders>
            <w:shd w:val="clear" w:color="auto" w:fill="EBF5FB"/>
            <w:tcMar>
              <w:top w:w="80" w:type="dxa"/>
              <w:left w:w="150" w:type="dxa"/>
              <w:bottom w:w="80" w:type="dxa"/>
              <w:right w:w="150" w:type="dxa"/>
            </w:tcMar>
          </w:tcPr>
          <w:p w:rsidR="00CA0D76" w:rsidRDefault="00C031CC">
            <w:pPr>
              <w:jc w:val="center"/>
            </w:pPr>
            <w:r>
              <w:rPr>
                <w:sz w:val="20"/>
                <w:szCs w:val="20"/>
              </w:rPr>
              <w:t>6</w:t>
            </w:r>
          </w:p>
        </w:tc>
        <w:tc>
          <w:tcPr>
            <w:tcW w:w="1526" w:type="dxa"/>
            <w:tcBorders>
              <w:top w:val="single" w:sz="1" w:space="0" w:color="CCCCCC"/>
              <w:left w:val="single" w:sz="1" w:space="0" w:color="CCCCCC"/>
              <w:bottom w:val="single" w:sz="1" w:space="0" w:color="CCCCCC"/>
              <w:right w:val="single" w:sz="1" w:space="0" w:color="CCCCCC"/>
            </w:tcBorders>
            <w:shd w:val="clear" w:color="auto" w:fill="EBF5FB"/>
            <w:tcMar>
              <w:top w:w="80" w:type="dxa"/>
              <w:left w:w="150" w:type="dxa"/>
              <w:bottom w:w="80" w:type="dxa"/>
              <w:right w:w="150" w:type="dxa"/>
            </w:tcMar>
          </w:tcPr>
          <w:p w:rsidR="00CA0D76" w:rsidRDefault="00C031CC">
            <w:pPr>
              <w:jc w:val="center"/>
            </w:pPr>
            <w:r>
              <w:rPr>
                <w:sz w:val="20"/>
                <w:szCs w:val="20"/>
              </w:rPr>
              <w:t>%6,6</w:t>
            </w:r>
          </w:p>
        </w:tc>
      </w:tr>
    </w:tbl>
    <w:p w:rsidR="00CA0D76" w:rsidRDefault="00CA0D76">
      <w:pPr>
        <w:spacing w:after="80"/>
      </w:pPr>
    </w:p>
    <w:p w:rsidR="00CA0D76" w:rsidRDefault="00C031CC">
      <w:pPr>
        <w:pStyle w:val="Balk2"/>
      </w:pPr>
      <w:r>
        <w:t>6.2. Etkinlik ve Zaman Tercihleri</w:t>
      </w:r>
    </w:p>
    <w:p w:rsidR="00CA0D76" w:rsidRDefault="00C031CC">
      <w:pPr>
        <w:spacing w:before="120" w:after="160"/>
        <w:jc w:val="center"/>
      </w:pPr>
      <w:r>
        <w:rPr>
          <w:noProof/>
        </w:rPr>
        <w:lastRenderedPageBreak/>
        <w:drawing>
          <wp:inline distT="0" distB="0" distL="0" distR="0">
            <wp:extent cx="5588000" cy="2476500"/>
            <wp:effectExtent l="0" t="0" r="0" b="0"/>
            <wp:docPr id="6" name="Resim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2"/>
                    <a:srcRect/>
                    <a:stretch>
                      <a:fillRect/>
                    </a:stretch>
                  </pic:blipFill>
                  <pic:spPr bwMode="auto">
                    <a:xfrm>
                      <a:off x="0" y="0"/>
                      <a:ext cx="5588000" cy="2476500"/>
                    </a:xfrm>
                    <a:prstGeom prst="rect">
                      <a:avLst/>
                    </a:prstGeom>
                  </pic:spPr>
                </pic:pic>
              </a:graphicData>
            </a:graphic>
          </wp:inline>
        </w:drawing>
      </w:r>
    </w:p>
    <w:p w:rsidR="00CA0D76" w:rsidRDefault="00C031CC">
      <w:pPr>
        <w:spacing w:before="120" w:after="160"/>
        <w:jc w:val="center"/>
      </w:pPr>
      <w:r>
        <w:rPr>
          <w:noProof/>
        </w:rPr>
        <w:drawing>
          <wp:inline distT="0" distB="0" distL="0" distR="0">
            <wp:extent cx="5080000" cy="2476500"/>
            <wp:effectExtent l="0" t="0" r="0" b="0"/>
            <wp:docPr id="7" name="Resim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3"/>
                    <a:srcRect/>
                    <a:stretch>
                      <a:fillRect/>
                    </a:stretch>
                  </pic:blipFill>
                  <pic:spPr bwMode="auto">
                    <a:xfrm>
                      <a:off x="0" y="0"/>
                      <a:ext cx="5080000" cy="2476500"/>
                    </a:xfrm>
                    <a:prstGeom prst="rect">
                      <a:avLst/>
                    </a:prstGeom>
                  </pic:spPr>
                </pic:pic>
              </a:graphicData>
            </a:graphic>
          </wp:inline>
        </w:drawing>
      </w:r>
    </w:p>
    <w:p w:rsidR="00CA0D76" w:rsidRDefault="00CA0D76">
      <w:pPr>
        <w:spacing w:after="60"/>
      </w:pPr>
    </w:p>
    <w:p w:rsidR="00CA0D76" w:rsidRDefault="00C031CC">
      <w:pPr>
        <w:spacing w:after="120"/>
        <w:jc w:val="both"/>
      </w:pPr>
      <w:r>
        <w:t>Buluşma tarihi belirleme konusunda katılımcıların büyük çoğunluğu "önceden anket yapılarak" seçeneğini tercih etmiştir; bu bulgu katılımcı merkezli bir planlama anlayışını desteklemektedir.</w:t>
      </w:r>
    </w:p>
    <w:p w:rsidR="00CA0D76" w:rsidRDefault="00C031CC">
      <w:pPr>
        <w:pStyle w:val="Balk2"/>
      </w:pPr>
      <w:r>
        <w:t xml:space="preserve">6.3. Mezunlar Arası Mevcut </w:t>
      </w:r>
      <w:r>
        <w:t>İletişim</w:t>
      </w:r>
    </w:p>
    <w:p w:rsidR="00CA0D76" w:rsidRDefault="00C031CC">
      <w:pPr>
        <w:spacing w:after="120"/>
        <w:jc w:val="both"/>
      </w:pPr>
      <w:r>
        <w:t xml:space="preserve">Mezunların %83,5'i (n=76) hâlen PDR arkadaşlarıyla iletişim kurduğunu belirtmiştir. En yaygın iletişim araçları </w:t>
      </w:r>
      <w:proofErr w:type="spellStart"/>
      <w:r>
        <w:t>WhatsApp</w:t>
      </w:r>
      <w:proofErr w:type="spellEnd"/>
      <w:r>
        <w:t>/</w:t>
      </w:r>
      <w:proofErr w:type="spellStart"/>
      <w:r>
        <w:t>Telegram</w:t>
      </w:r>
      <w:proofErr w:type="spellEnd"/>
      <w:r>
        <w:t xml:space="preserve"> (%72,5), sosyal medya (%64,8) ve telefon (%57,1) olarak sıralanmaktadır.</w:t>
      </w:r>
    </w:p>
    <w:p w:rsidR="00CA0D76" w:rsidRDefault="00C031CC">
      <w:pPr>
        <w:spacing w:before="120" w:after="160"/>
        <w:jc w:val="center"/>
      </w:pPr>
      <w:r>
        <w:rPr>
          <w:noProof/>
        </w:rPr>
        <w:lastRenderedPageBreak/>
        <w:drawing>
          <wp:inline distT="0" distB="0" distL="0" distR="0">
            <wp:extent cx="5080000" cy="2476500"/>
            <wp:effectExtent l="0" t="0" r="0" b="0"/>
            <wp:docPr id="8" name="Resim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4"/>
                    <a:srcRect/>
                    <a:stretch>
                      <a:fillRect/>
                    </a:stretch>
                  </pic:blipFill>
                  <pic:spPr bwMode="auto">
                    <a:xfrm>
                      <a:off x="0" y="0"/>
                      <a:ext cx="5080000" cy="2476500"/>
                    </a:xfrm>
                    <a:prstGeom prst="rect">
                      <a:avLst/>
                    </a:prstGeom>
                  </pic:spPr>
                </pic:pic>
              </a:graphicData>
            </a:graphic>
          </wp:inline>
        </w:drawing>
      </w:r>
    </w:p>
    <w:p w:rsidR="00CA0D76" w:rsidRDefault="00CA0D76">
      <w:pPr>
        <w:spacing w:after="100"/>
      </w:pPr>
    </w:p>
    <w:p w:rsidR="00CA0D76" w:rsidRDefault="00C031CC">
      <w:pPr>
        <w:pStyle w:val="Balk1"/>
        <w:pBdr>
          <w:bottom w:val="single" w:sz="4" w:space="4" w:color="1B4F72"/>
        </w:pBdr>
      </w:pPr>
      <w:r>
        <w:t>7. Öneriler</w:t>
      </w:r>
    </w:p>
    <w:p w:rsidR="00CA0D76" w:rsidRDefault="00C031CC">
      <w:pPr>
        <w:pStyle w:val="Balk2"/>
      </w:pPr>
      <w:r>
        <w:t>7.1. Müfredat Geliştirme</w:t>
      </w:r>
    </w:p>
    <w:p w:rsidR="00CA0D76" w:rsidRDefault="00C031CC">
      <w:pPr>
        <w:pStyle w:val="ListeParagraf"/>
        <w:numPr>
          <w:ilvl w:val="0"/>
          <w:numId w:val="2"/>
        </w:numPr>
        <w:spacing w:after="80"/>
      </w:pPr>
      <w:r>
        <w:t xml:space="preserve">BDT başta olmak üzere kanıta dayalı </w:t>
      </w:r>
      <w:proofErr w:type="gramStart"/>
      <w:r>
        <w:t>terapi</w:t>
      </w:r>
      <w:proofErr w:type="gramEnd"/>
      <w:r>
        <w:t xml:space="preserve"> ekollerinin teorik ve pratik boyutlarıyla lisans programına entegrasyonu değerlendirilmelidir.</w:t>
      </w:r>
    </w:p>
    <w:p w:rsidR="00CA0D76" w:rsidRDefault="00C031CC">
      <w:pPr>
        <w:pStyle w:val="ListeParagraf"/>
        <w:numPr>
          <w:ilvl w:val="0"/>
          <w:numId w:val="2"/>
        </w:numPr>
        <w:spacing w:after="80"/>
      </w:pPr>
      <w:r>
        <w:t>Seçmeli derslerin yalnızca okul PDM odaklı değil; klinik, endüstriyel-örgütsel ve dijital psikoloji alanlarını kapsaya</w:t>
      </w:r>
      <w:r>
        <w:t>cak biçimde çeşitlendirilmesi önerilmektedir.</w:t>
      </w:r>
    </w:p>
    <w:p w:rsidR="00CA0D76" w:rsidRDefault="00C031CC">
      <w:pPr>
        <w:pStyle w:val="ListeParagraf"/>
        <w:numPr>
          <w:ilvl w:val="0"/>
          <w:numId w:val="2"/>
        </w:numPr>
        <w:spacing w:after="80"/>
      </w:pPr>
      <w:r>
        <w:t xml:space="preserve">Staj uygulamalarının niteliği artırılmalı; </w:t>
      </w:r>
      <w:proofErr w:type="spellStart"/>
      <w:r>
        <w:t>süpervizyon</w:t>
      </w:r>
      <w:proofErr w:type="spellEnd"/>
      <w:r>
        <w:t xml:space="preserve"> destekli saha çalışmalarına ağırlık verilmelidir.</w:t>
      </w:r>
    </w:p>
    <w:p w:rsidR="00CA0D76" w:rsidRDefault="00C031CC">
      <w:pPr>
        <w:pStyle w:val="Balk2"/>
      </w:pPr>
      <w:r>
        <w:t>7.2. Kariyer Desteği</w:t>
      </w:r>
    </w:p>
    <w:p w:rsidR="00CA0D76" w:rsidRDefault="00C031CC">
      <w:pPr>
        <w:pStyle w:val="ListeParagraf"/>
        <w:numPr>
          <w:ilvl w:val="0"/>
          <w:numId w:val="2"/>
        </w:numPr>
        <w:spacing w:after="80"/>
      </w:pPr>
      <w:r>
        <w:t xml:space="preserve">Mezuniyet öncesi kariyer planlama atölyeleri ve kamu/özel sektör </w:t>
      </w:r>
      <w:proofErr w:type="gramStart"/>
      <w:r>
        <w:t>simülasyonları</w:t>
      </w:r>
      <w:proofErr w:type="gramEnd"/>
      <w:r>
        <w:t xml:space="preserve"> düze</w:t>
      </w:r>
      <w:r>
        <w:t>nlenebilir.</w:t>
      </w:r>
    </w:p>
    <w:p w:rsidR="00CA0D76" w:rsidRDefault="00C031CC">
      <w:pPr>
        <w:pStyle w:val="ListeParagraf"/>
        <w:numPr>
          <w:ilvl w:val="0"/>
          <w:numId w:val="2"/>
        </w:numPr>
        <w:spacing w:after="80"/>
      </w:pPr>
      <w:r>
        <w:t xml:space="preserve">İlk iş arama süresini kısaltmaya yönelik </w:t>
      </w:r>
      <w:proofErr w:type="spellStart"/>
      <w:r>
        <w:t>mentorluk</w:t>
      </w:r>
      <w:proofErr w:type="spellEnd"/>
      <w:r>
        <w:t xml:space="preserve"> programları hayata geçirilmelidir.</w:t>
      </w:r>
    </w:p>
    <w:p w:rsidR="00CA0D76" w:rsidRDefault="00C031CC">
      <w:pPr>
        <w:pStyle w:val="Balk2"/>
      </w:pPr>
      <w:r>
        <w:t>7.3. Mezun İlişkileri</w:t>
      </w:r>
    </w:p>
    <w:p w:rsidR="00CA0D76" w:rsidRDefault="00C031CC">
      <w:pPr>
        <w:pStyle w:val="ListeParagraf"/>
        <w:numPr>
          <w:ilvl w:val="0"/>
          <w:numId w:val="2"/>
        </w:numPr>
        <w:spacing w:after="80"/>
      </w:pPr>
      <w:r>
        <w:t>Mezun buluşmaları için hafta sonu gündüz zaman dilimine öncelik verilmeli; tarih belirleme süreci anket yoluyla mezunlarla birlikte yürü</w:t>
      </w:r>
      <w:r>
        <w:t>tülmelidir.</w:t>
      </w:r>
    </w:p>
    <w:p w:rsidR="00CA0D76" w:rsidRDefault="00C031CC">
      <w:pPr>
        <w:pStyle w:val="ListeParagraf"/>
        <w:numPr>
          <w:ilvl w:val="0"/>
          <w:numId w:val="2"/>
        </w:numPr>
        <w:spacing w:after="80"/>
      </w:pPr>
      <w:r>
        <w:t xml:space="preserve">Resmi bir BUÜ PDR Mezunlar Platformu (uygulama veya web </w:t>
      </w:r>
      <w:proofErr w:type="spellStart"/>
      <w:r>
        <w:t>portalı</w:t>
      </w:r>
      <w:proofErr w:type="spellEnd"/>
      <w:r>
        <w:t>) oluşturularak mezun–bölüm iletişimi kurumsal bir zemine taşınmalıdır.</w:t>
      </w:r>
    </w:p>
    <w:p w:rsidR="00CA0D76" w:rsidRDefault="00C031CC">
      <w:pPr>
        <w:pStyle w:val="ListeParagraf"/>
        <w:numPr>
          <w:ilvl w:val="0"/>
          <w:numId w:val="2"/>
        </w:numPr>
        <w:spacing w:after="80"/>
      </w:pPr>
      <w:r>
        <w:t>Lisans döneminde aidiyet duygusunu pekiştirici etkinlikler artırılmalıdır.</w:t>
      </w:r>
    </w:p>
    <w:p w:rsidR="00CA0D76" w:rsidRDefault="00C031CC">
      <w:pPr>
        <w:pStyle w:val="Balk2"/>
      </w:pPr>
      <w:r>
        <w:t>7.4. Anket Metodolojisi</w:t>
      </w:r>
    </w:p>
    <w:p w:rsidR="00CA0D76" w:rsidRDefault="00C031CC">
      <w:pPr>
        <w:pStyle w:val="ListeParagraf"/>
        <w:numPr>
          <w:ilvl w:val="0"/>
          <w:numId w:val="2"/>
        </w:numPr>
        <w:spacing w:after="80"/>
      </w:pPr>
      <w:r>
        <w:t>Sonraki dö</w:t>
      </w:r>
      <w:r>
        <w:t xml:space="preserve">nemlerde </w:t>
      </w:r>
      <w:proofErr w:type="spellStart"/>
      <w:r>
        <w:t>SMS'e</w:t>
      </w:r>
      <w:proofErr w:type="spellEnd"/>
      <w:r>
        <w:t xml:space="preserve"> ek olarak e-posta ve sosyal medya kanallarının kullanılması katılım oranını yükseltebilir.</w:t>
      </w:r>
    </w:p>
    <w:p w:rsidR="00CA0D76" w:rsidRDefault="00C031CC">
      <w:pPr>
        <w:pStyle w:val="ListeParagraf"/>
        <w:numPr>
          <w:ilvl w:val="0"/>
          <w:numId w:val="2"/>
        </w:numPr>
        <w:spacing w:after="80"/>
      </w:pPr>
      <w:r>
        <w:t>Hatırlatma iletisi gönderimi ve anket süresinin uzatılması yanıt oranını olumlu etkileyebilir.</w:t>
      </w:r>
    </w:p>
    <w:p w:rsidR="00CA0D76" w:rsidRDefault="00CA0D76">
      <w:pPr>
        <w:spacing w:after="100"/>
      </w:pPr>
    </w:p>
    <w:p w:rsidR="00CA0D76" w:rsidRDefault="00C031CC">
      <w:pPr>
        <w:pStyle w:val="Balk1"/>
        <w:pBdr>
          <w:bottom w:val="single" w:sz="4" w:space="4" w:color="1B4F72"/>
        </w:pBdr>
      </w:pPr>
      <w:r>
        <w:t>8. Sonuç</w:t>
      </w:r>
    </w:p>
    <w:p w:rsidR="00CA0D76" w:rsidRDefault="00C031CC">
      <w:pPr>
        <w:spacing w:after="120"/>
        <w:jc w:val="both"/>
      </w:pPr>
      <w:r>
        <w:lastRenderedPageBreak/>
        <w:t>Bu çalışma, BUÜ PDR Anabilim Dalı mezunlarını</w:t>
      </w:r>
      <w:r>
        <w:t xml:space="preserve">n istihdam </w:t>
      </w:r>
      <w:proofErr w:type="gramStart"/>
      <w:r>
        <w:t>profillerini</w:t>
      </w:r>
      <w:proofErr w:type="gramEnd"/>
      <w:r>
        <w:t>, lisans eğitimine ilişkin değerlendirmelerini ve bölümle yeniden bütünleşme eğilimlerini ortaya koymaktadır. Bulgular, programın temel istihdam hedefini büyük ölçüde karşıladığına işaret etmekle birlikte; staj uygulamalarının etkinl</w:t>
      </w:r>
      <w:r>
        <w:t>iği, iş arama sürecinin uzunluğu ve müfredat çeşitliliği açısından geliştirme alanları bulunduğunu da gözler önüne sermektedir. Mezunların buluşma ve iletişime olan güçlü ilgisi ise sürdürülebilir bir mezun topluluğu oluşturmanın mümkün olduğuna işaret etm</w:t>
      </w:r>
      <w:r>
        <w:t>ektedir.</w:t>
      </w:r>
    </w:p>
    <w:p w:rsidR="00CA0D76" w:rsidRDefault="00CA0D76">
      <w:pPr>
        <w:spacing w:after="80"/>
      </w:pP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026"/>
      </w:tblGrid>
      <w:tr w:rsidR="00CA0D76">
        <w:tblPrEx>
          <w:tblCellMar>
            <w:top w:w="0" w:type="dxa"/>
            <w:bottom w:w="0" w:type="dxa"/>
          </w:tblCellMar>
        </w:tblPrEx>
        <w:tc>
          <w:tcPr>
            <w:tcW w:w="9026" w:type="dxa"/>
            <w:tcBorders>
              <w:top w:val="single" w:sz="6" w:space="0" w:color="2980B9"/>
              <w:left w:val="single" w:sz="20" w:space="0" w:color="1B4F72"/>
              <w:bottom w:val="single" w:sz="6" w:space="0" w:color="2980B9"/>
              <w:right w:val="single" w:sz="6" w:space="0" w:color="2980B9"/>
            </w:tcBorders>
            <w:shd w:val="clear" w:color="auto" w:fill="EBF5FB"/>
            <w:tcMar>
              <w:top w:w="120" w:type="dxa"/>
              <w:left w:w="200" w:type="dxa"/>
              <w:bottom w:w="120" w:type="dxa"/>
              <w:right w:w="200" w:type="dxa"/>
            </w:tcMar>
          </w:tcPr>
          <w:p w:rsidR="00CA0D76" w:rsidRDefault="00C031CC">
            <w:r>
              <w:rPr>
                <w:i/>
                <w:iCs/>
              </w:rPr>
              <w:t>Bu rapor yalnızca akademik ve kurumsal geliştirme amaçlarıyla hazırlanmıştır. Katılımcılara ait kişisel veriler hiçbir şekilde üçüncü şahıslarla paylaşılmamakta; yanıtlar yalnızca toplu istatistiksel analizlerde kullanılmaktadır.</w:t>
            </w:r>
          </w:p>
        </w:tc>
      </w:tr>
    </w:tbl>
    <w:p w:rsidR="00C031CC" w:rsidRDefault="00C031CC"/>
    <w:sectPr w:rsidR="00C031CC">
      <w:headerReference w:type="default" r:id="rId15"/>
      <w:footerReference w:type="default" r:id="rId16"/>
      <w:pgSz w:w="11906" w:h="16838"/>
      <w:pgMar w:top="1200" w:right="1200" w:bottom="120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031CC" w:rsidRDefault="00C031CC">
      <w:r>
        <w:separator/>
      </w:r>
    </w:p>
  </w:endnote>
  <w:endnote w:type="continuationSeparator" w:id="0">
    <w:p w:rsidR="00C031CC" w:rsidRDefault="00C031C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A2"/>
    <w:family w:val="swiss"/>
    <w:pitch w:val="variable"/>
    <w:sig w:usb0="E4002EFF" w:usb1="C200247B" w:usb2="00000009" w:usb3="00000000" w:csb0="000001FF" w:csb1="00000000"/>
  </w:font>
  <w:font w:name="Calibri">
    <w:panose1 w:val="020F0502020204030204"/>
    <w:charset w:val="A2"/>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A0D76" w:rsidRDefault="00C031CC">
    <w:pPr>
      <w:pBdr>
        <w:top w:val="single" w:sz="4" w:space="2" w:color="CCCCCC"/>
      </w:pBdr>
      <w:tabs>
        <w:tab w:val="right" w:pos="9026"/>
      </w:tabs>
      <w:spacing w:before="80"/>
    </w:pPr>
    <w:r>
      <w:rPr>
        <w:color w:val="666666"/>
        <w:sz w:val="18"/>
        <w:szCs w:val="18"/>
      </w:rPr>
      <w:t>Bursa Uludağ Üniversitesi  |  Eğitim Fakültesi</w:t>
    </w:r>
    <w:r>
      <w:rPr>
        <w:sz w:val="18"/>
        <w:szCs w:val="18"/>
      </w:rPr>
      <w:tab/>
    </w:r>
    <w:r>
      <w:rPr>
        <w:color w:val="666666"/>
        <w:sz w:val="18"/>
        <w:szCs w:val="18"/>
      </w:rPr>
      <w:t>Sayfa</w: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031CC" w:rsidRDefault="00C031CC">
      <w:r>
        <w:separator/>
      </w:r>
    </w:p>
  </w:footnote>
  <w:footnote w:type="continuationSeparator" w:id="0">
    <w:p w:rsidR="00C031CC" w:rsidRDefault="00C031CC">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6500"/>
      <w:gridCol w:w="2526"/>
    </w:tblGrid>
    <w:tr w:rsidR="00CA0D76">
      <w:tblPrEx>
        <w:tblCellMar>
          <w:top w:w="0" w:type="dxa"/>
          <w:bottom w:w="0" w:type="dxa"/>
        </w:tblCellMar>
      </w:tblPrEx>
      <w:tc>
        <w:tcPr>
          <w:tcW w:w="6500" w:type="dxa"/>
          <w:tcMar>
            <w:top w:w="60" w:type="dxa"/>
            <w:left w:w="0" w:type="dxa"/>
            <w:bottom w:w="60" w:type="dxa"/>
            <w:right w:w="0" w:type="dxa"/>
          </w:tcMar>
        </w:tcPr>
        <w:p w:rsidR="00CA0D76" w:rsidRDefault="00C031CC">
          <w:r>
            <w:rPr>
              <w:b/>
              <w:bCs/>
              <w:color w:val="1B4F72"/>
              <w:sz w:val="18"/>
              <w:szCs w:val="18"/>
            </w:rPr>
            <w:t>BUÜ PDR Mezun İzleme Anketi Raporu 2026</w:t>
          </w:r>
        </w:p>
      </w:tc>
      <w:tc>
        <w:tcPr>
          <w:tcW w:w="2526" w:type="dxa"/>
          <w:tcMar>
            <w:top w:w="60" w:type="dxa"/>
            <w:left w:w="0" w:type="dxa"/>
            <w:bottom w:w="60" w:type="dxa"/>
            <w:right w:w="0" w:type="dxa"/>
          </w:tcMar>
        </w:tcPr>
        <w:p w:rsidR="00CA0D76" w:rsidRDefault="00C031CC">
          <w:pPr>
            <w:jc w:val="right"/>
          </w:pPr>
          <w:r>
            <w:rPr>
              <w:color w:val="666666"/>
              <w:sz w:val="18"/>
              <w:szCs w:val="18"/>
            </w:rPr>
            <w:t>Eğitim Bilimleri Bölümü</w:t>
          </w:r>
        </w:p>
      </w:tc>
    </w:tr>
  </w:tbl>
  <w:p w:rsidR="00CA0D76" w:rsidRDefault="00CA0D76">
    <w:pPr>
      <w:pBdr>
        <w:bottom w:val="single" w:sz="4" w:space="2" w:color="1B4F72"/>
      </w:pBdr>
      <w:spacing w:after="100"/>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50D273D"/>
    <w:multiLevelType w:val="hybridMultilevel"/>
    <w:tmpl w:val="EE0241D8"/>
    <w:lvl w:ilvl="0" w:tplc="54E8C4A6">
      <w:start w:val="1"/>
      <w:numFmt w:val="bullet"/>
      <w:lvlText w:val="•"/>
      <w:lvlJc w:val="left"/>
      <w:pPr>
        <w:ind w:left="720" w:hanging="360"/>
      </w:pPr>
    </w:lvl>
    <w:lvl w:ilvl="1" w:tplc="9F32E8B0">
      <w:numFmt w:val="decimal"/>
      <w:lvlText w:val=""/>
      <w:lvlJc w:val="left"/>
    </w:lvl>
    <w:lvl w:ilvl="2" w:tplc="446407D4">
      <w:numFmt w:val="decimal"/>
      <w:lvlText w:val=""/>
      <w:lvlJc w:val="left"/>
    </w:lvl>
    <w:lvl w:ilvl="3" w:tplc="C71AC80C">
      <w:numFmt w:val="decimal"/>
      <w:lvlText w:val=""/>
      <w:lvlJc w:val="left"/>
    </w:lvl>
    <w:lvl w:ilvl="4" w:tplc="F4863D6E">
      <w:numFmt w:val="decimal"/>
      <w:lvlText w:val=""/>
      <w:lvlJc w:val="left"/>
    </w:lvl>
    <w:lvl w:ilvl="5" w:tplc="03F4F876">
      <w:numFmt w:val="decimal"/>
      <w:lvlText w:val=""/>
      <w:lvlJc w:val="left"/>
    </w:lvl>
    <w:lvl w:ilvl="6" w:tplc="8EE6811C">
      <w:numFmt w:val="decimal"/>
      <w:lvlText w:val=""/>
      <w:lvlJc w:val="left"/>
    </w:lvl>
    <w:lvl w:ilvl="7" w:tplc="8E70E466">
      <w:numFmt w:val="decimal"/>
      <w:lvlText w:val=""/>
      <w:lvlJc w:val="left"/>
    </w:lvl>
    <w:lvl w:ilvl="8" w:tplc="B31CC0BE">
      <w:numFmt w:val="decimal"/>
      <w:lvlText w:val=""/>
      <w:lvlJc w:val="left"/>
    </w:lvl>
  </w:abstractNum>
  <w:abstractNum w:abstractNumId="1" w15:restartNumberingAfterBreak="0">
    <w:nsid w:val="2ED851AE"/>
    <w:multiLevelType w:val="hybridMultilevel"/>
    <w:tmpl w:val="7820F47A"/>
    <w:lvl w:ilvl="0" w:tplc="8CF4D6E2">
      <w:start w:val="1"/>
      <w:numFmt w:val="bullet"/>
      <w:lvlText w:val="●"/>
      <w:lvlJc w:val="left"/>
      <w:pPr>
        <w:ind w:left="720" w:hanging="360"/>
      </w:pPr>
    </w:lvl>
    <w:lvl w:ilvl="1" w:tplc="46A81A0C">
      <w:start w:val="1"/>
      <w:numFmt w:val="bullet"/>
      <w:lvlText w:val="○"/>
      <w:lvlJc w:val="left"/>
      <w:pPr>
        <w:ind w:left="1440" w:hanging="360"/>
      </w:pPr>
    </w:lvl>
    <w:lvl w:ilvl="2" w:tplc="80D84422">
      <w:start w:val="1"/>
      <w:numFmt w:val="bullet"/>
      <w:lvlText w:val="■"/>
      <w:lvlJc w:val="left"/>
      <w:pPr>
        <w:ind w:left="2160" w:hanging="360"/>
      </w:pPr>
    </w:lvl>
    <w:lvl w:ilvl="3" w:tplc="2626EBA0">
      <w:start w:val="1"/>
      <w:numFmt w:val="bullet"/>
      <w:lvlText w:val="●"/>
      <w:lvlJc w:val="left"/>
      <w:pPr>
        <w:ind w:left="2880" w:hanging="360"/>
      </w:pPr>
    </w:lvl>
    <w:lvl w:ilvl="4" w:tplc="122A1C82">
      <w:start w:val="1"/>
      <w:numFmt w:val="bullet"/>
      <w:lvlText w:val="○"/>
      <w:lvlJc w:val="left"/>
      <w:pPr>
        <w:ind w:left="3600" w:hanging="360"/>
      </w:pPr>
    </w:lvl>
    <w:lvl w:ilvl="5" w:tplc="10D07650">
      <w:start w:val="1"/>
      <w:numFmt w:val="bullet"/>
      <w:lvlText w:val="■"/>
      <w:lvlJc w:val="left"/>
      <w:pPr>
        <w:ind w:left="4320" w:hanging="360"/>
      </w:pPr>
    </w:lvl>
    <w:lvl w:ilvl="6" w:tplc="7B5E2D56">
      <w:start w:val="1"/>
      <w:numFmt w:val="bullet"/>
      <w:lvlText w:val="●"/>
      <w:lvlJc w:val="left"/>
      <w:pPr>
        <w:ind w:left="5040" w:hanging="360"/>
      </w:pPr>
    </w:lvl>
    <w:lvl w:ilvl="7" w:tplc="A69091C8">
      <w:start w:val="1"/>
      <w:numFmt w:val="bullet"/>
      <w:lvlText w:val="●"/>
      <w:lvlJc w:val="left"/>
      <w:pPr>
        <w:ind w:left="5760" w:hanging="360"/>
      </w:pPr>
    </w:lvl>
    <w:lvl w:ilvl="8" w:tplc="4B5ED91A">
      <w:start w:val="1"/>
      <w:numFmt w:val="bullet"/>
      <w:lvlText w:val="●"/>
      <w:lvlJc w:val="left"/>
      <w:pPr>
        <w:ind w:left="6480" w:hanging="360"/>
      </w:pPr>
    </w:lvl>
  </w:abstractNum>
  <w:num w:numId="1">
    <w:abstractNumId w:val="1"/>
    <w:lvlOverride w:ilvl="0">
      <w:startOverride w:val="1"/>
    </w:lvlOverride>
  </w:num>
  <w:num w:numId="2">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isplayBackgroundShape/>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A0D76"/>
    <w:rsid w:val="00BD777E"/>
    <w:rsid w:val="00C031CC"/>
    <w:rsid w:val="00CA0D76"/>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0471371"/>
  <w15:docId w15:val="{1EBAEA3C-AC00-466B-A9AC-CF399424EA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Arial" w:eastAsia="Arial" w:hAnsi="Arial" w:cs="Arial"/>
        <w:sz w:val="22"/>
        <w:szCs w:val="22"/>
        <w:lang w:val="tr-TR" w:eastAsia="tr-TR"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Balk1">
    <w:name w:val="heading 1"/>
    <w:qFormat/>
    <w:pPr>
      <w:spacing w:before="320" w:after="160"/>
      <w:outlineLvl w:val="0"/>
    </w:pPr>
    <w:rPr>
      <w:b/>
      <w:bCs/>
      <w:color w:val="1B4F72"/>
      <w:sz w:val="28"/>
      <w:szCs w:val="28"/>
    </w:rPr>
  </w:style>
  <w:style w:type="paragraph" w:styleId="Balk2">
    <w:name w:val="heading 2"/>
    <w:qFormat/>
    <w:pPr>
      <w:spacing w:before="240" w:after="120"/>
      <w:outlineLvl w:val="1"/>
    </w:pPr>
    <w:rPr>
      <w:b/>
      <w:bCs/>
      <w:color w:val="2980B9"/>
      <w:sz w:val="24"/>
      <w:szCs w:val="24"/>
    </w:rPr>
  </w:style>
  <w:style w:type="paragraph" w:styleId="Balk3">
    <w:name w:val="heading 3"/>
    <w:qFormat/>
    <w:pPr>
      <w:outlineLvl w:val="2"/>
    </w:pPr>
    <w:rPr>
      <w:color w:val="1F4D78"/>
      <w:sz w:val="24"/>
      <w:szCs w:val="24"/>
    </w:rPr>
  </w:style>
  <w:style w:type="paragraph" w:styleId="Balk4">
    <w:name w:val="heading 4"/>
    <w:qFormat/>
    <w:pPr>
      <w:outlineLvl w:val="3"/>
    </w:pPr>
    <w:rPr>
      <w:i/>
      <w:iCs/>
      <w:color w:val="2E74B5"/>
    </w:rPr>
  </w:style>
  <w:style w:type="paragraph" w:styleId="Balk5">
    <w:name w:val="heading 5"/>
    <w:qFormat/>
    <w:pPr>
      <w:outlineLvl w:val="4"/>
    </w:pPr>
    <w:rPr>
      <w:color w:val="2E74B5"/>
    </w:rPr>
  </w:style>
  <w:style w:type="paragraph" w:styleId="Balk6">
    <w:name w:val="heading 6"/>
    <w:qFormat/>
    <w:pPr>
      <w:outlineLvl w:val="5"/>
    </w:pPr>
    <w:rPr>
      <w:color w:val="1F4D78"/>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KonuBal">
    <w:name w:val="Title"/>
    <w:qFormat/>
    <w:rPr>
      <w:sz w:val="56"/>
      <w:szCs w:val="56"/>
    </w:rPr>
  </w:style>
  <w:style w:type="paragraph" w:customStyle="1" w:styleId="Gl1">
    <w:name w:val="Güçlü1"/>
    <w:qFormat/>
    <w:rPr>
      <w:b/>
      <w:bCs/>
    </w:rPr>
  </w:style>
  <w:style w:type="paragraph" w:styleId="ListeParagraf">
    <w:name w:val="List Paragraph"/>
    <w:qFormat/>
  </w:style>
  <w:style w:type="character" w:styleId="Kpr">
    <w:name w:val="Hyperlink"/>
    <w:uiPriority w:val="99"/>
    <w:unhideWhenUsed/>
    <w:rPr>
      <w:color w:val="0563C1"/>
      <w:u w:val="single"/>
    </w:rPr>
  </w:style>
  <w:style w:type="character" w:styleId="DipnotBavurusu">
    <w:name w:val="footnote reference"/>
    <w:uiPriority w:val="99"/>
    <w:semiHidden/>
    <w:unhideWhenUsed/>
    <w:rPr>
      <w:vertAlign w:val="superscript"/>
    </w:rPr>
  </w:style>
  <w:style w:type="paragraph" w:styleId="DipnotMetni">
    <w:name w:val="footnote text"/>
    <w:link w:val="DipnotMetniChar"/>
    <w:uiPriority w:val="99"/>
    <w:semiHidden/>
    <w:unhideWhenUsed/>
    <w:rPr>
      <w:sz w:val="20"/>
      <w:szCs w:val="20"/>
    </w:rPr>
  </w:style>
  <w:style w:type="character" w:customStyle="1" w:styleId="DipnotMetniChar">
    <w:name w:val="Dipnot Metni Char"/>
    <w:link w:val="DipnotMetni"/>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image" Target="media/image7.png"/><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image" Target="media/image6.png"/><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png"/><Relationship Id="rId5" Type="http://schemas.openxmlformats.org/officeDocument/2006/relationships/footnotes" Target="footnotes.xml"/><Relationship Id="rId15" Type="http://schemas.openxmlformats.org/officeDocument/2006/relationships/header" Target="header1.xml"/><Relationship Id="rId10" Type="http://schemas.openxmlformats.org/officeDocument/2006/relationships/image" Target="media/image4.png"/><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image" Target="media/image8.png"/></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TotalTime>
  <Pages>7</Pages>
  <Words>1067</Words>
  <Characters>6083</Characters>
  <Application>Microsoft Office Word</Application>
  <DocSecurity>0</DocSecurity>
  <Lines>50</Lines>
  <Paragraphs>14</Paragraphs>
  <ScaleCrop>false</ScaleCrop>
  <Company/>
  <LinksUpToDate>false</LinksUpToDate>
  <CharactersWithSpaces>7136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Lenovo PC</cp:lastModifiedBy>
  <cp:revision>2</cp:revision>
  <dcterms:created xsi:type="dcterms:W3CDTF">2026-03-16T13:01:00Z</dcterms:created>
  <dcterms:modified xsi:type="dcterms:W3CDTF">2026-03-16T13:05:00Z</dcterms:modified>
</cp:coreProperties>
</file>